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柳州市体育局</w:t>
      </w:r>
      <w:r>
        <w:rPr>
          <w:rFonts w:hint="eastAsia" w:ascii="仿宋_GB2312" w:eastAsia="仿宋_GB2312"/>
          <w:b/>
          <w:sz w:val="32"/>
          <w:szCs w:val="32"/>
        </w:rPr>
        <w:t xml:space="preserve"> </w:t>
      </w:r>
      <w:r>
        <w:rPr>
          <w:rFonts w:hint="eastAsia" w:ascii="仿宋_GB2312" w:eastAsia="仿宋_GB2312"/>
          <w:b/>
          <w:sz w:val="32"/>
          <w:szCs w:val="32"/>
          <w:lang w:eastAsia="zh-CN"/>
        </w:rPr>
        <w:t>2018</w:t>
      </w:r>
      <w:r>
        <w:rPr>
          <w:rFonts w:hint="eastAsia" w:ascii="仿宋_GB2312" w:eastAsia="仿宋_GB2312"/>
          <w:b/>
          <w:sz w:val="32"/>
          <w:szCs w:val="32"/>
        </w:rPr>
        <w:t>年部门决算报表</w:t>
      </w:r>
    </w:p>
    <w:p>
      <w:pPr>
        <w:ind w:firstLine="0"/>
        <w:jc w:val="both"/>
        <w:rPr>
          <w:rFonts w:hint="eastAsia" w:ascii="仿宋_GB2312" w:eastAsia="仿宋_GB2312"/>
          <w:b w:val="0"/>
          <w:bCs/>
          <w:sz w:val="32"/>
          <w:szCs w:val="32"/>
          <w:lang w:eastAsia="zh-CN"/>
        </w:rPr>
      </w:pPr>
    </w:p>
    <w:p>
      <w:pPr>
        <w:rPr>
          <w:rFonts w:hint="eastAsia" w:ascii="仿宋_GB2312" w:hAnsi="黑体" w:eastAsia="仿宋_GB2312"/>
          <w:sz w:val="32"/>
          <w:szCs w:val="32"/>
        </w:rPr>
      </w:pPr>
    </w:p>
    <w:p>
      <w:pPr>
        <w:jc w:val="center"/>
        <w:rPr>
          <w:rFonts w:hint="eastAsia"/>
        </w:rPr>
      </w:pPr>
    </w:p>
    <w:p>
      <w:pPr>
        <w:rPr>
          <w:rFonts w:hint="eastAsia"/>
        </w:rPr>
      </w:pPr>
    </w:p>
    <w:tbl>
      <w:tblPr>
        <w:tblStyle w:val="6"/>
        <w:tblW w:w="8720" w:type="dxa"/>
        <w:jc w:val="center"/>
        <w:tblInd w:w="93" w:type="dxa"/>
        <w:tblLayout w:type="fixed"/>
        <w:tblCellMar>
          <w:top w:w="0" w:type="dxa"/>
          <w:left w:w="108" w:type="dxa"/>
          <w:bottom w:w="0" w:type="dxa"/>
          <w:right w:w="108" w:type="dxa"/>
        </w:tblCellMar>
      </w:tblPr>
      <w:tblGrid>
        <w:gridCol w:w="2895"/>
        <w:gridCol w:w="1226"/>
        <w:gridCol w:w="2982"/>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121"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59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9903.99</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21.80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47.82</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二、文化体育与传媒支出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8527.60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342.31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24.93</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88.14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五、资源勘探信息等支出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1505.95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9976.74</w:t>
            </w:r>
          </w:p>
        </w:tc>
        <w:tc>
          <w:tcPr>
            <w:tcW w:w="29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10658.36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4.01</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2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921.40</w:t>
            </w: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243.78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10,902.15</w:t>
            </w:r>
          </w:p>
        </w:tc>
        <w:tc>
          <w:tcPr>
            <w:tcW w:w="29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10,902.15</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6"/>
        <w:tblW w:w="14563" w:type="dxa"/>
        <w:jc w:val="center"/>
        <w:tblInd w:w="93" w:type="dxa"/>
        <w:tblLayout w:type="fixed"/>
        <w:tblCellMar>
          <w:top w:w="0" w:type="dxa"/>
          <w:left w:w="108" w:type="dxa"/>
          <w:bottom w:w="0" w:type="dxa"/>
          <w:right w:w="108" w:type="dxa"/>
        </w:tblCellMar>
      </w:tblPr>
      <w:tblGrid>
        <w:gridCol w:w="1175"/>
        <w:gridCol w:w="3228"/>
        <w:gridCol w:w="1635"/>
        <w:gridCol w:w="1665"/>
        <w:gridCol w:w="1274"/>
        <w:gridCol w:w="1501"/>
        <w:gridCol w:w="1109"/>
        <w:gridCol w:w="1436"/>
        <w:gridCol w:w="1540"/>
      </w:tblGrid>
      <w:tr>
        <w:tblPrEx>
          <w:tblLayout w:type="fixed"/>
          <w:tblCellMar>
            <w:top w:w="0" w:type="dxa"/>
            <w:left w:w="108" w:type="dxa"/>
            <w:bottom w:w="0" w:type="dxa"/>
            <w:right w:w="108" w:type="dxa"/>
          </w:tblCellMar>
        </w:tblPrEx>
        <w:trPr>
          <w:trHeight w:val="288" w:hRule="atLeast"/>
          <w:jc w:val="center"/>
        </w:trPr>
        <w:tc>
          <w:tcPr>
            <w:tcW w:w="4403"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6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科目编码</w:t>
            </w:r>
          </w:p>
        </w:tc>
        <w:tc>
          <w:tcPr>
            <w:tcW w:w="32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40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63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6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27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109"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436"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440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合计</w:t>
            </w:r>
          </w:p>
        </w:tc>
        <w:tc>
          <w:tcPr>
            <w:tcW w:w="163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9976.74</w:t>
            </w:r>
          </w:p>
        </w:tc>
        <w:tc>
          <w:tcPr>
            <w:tcW w:w="1665"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9903.99</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47.82</w:t>
            </w:r>
          </w:p>
        </w:tc>
        <w:tc>
          <w:tcPr>
            <w:tcW w:w="1109"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24.93</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教育支出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20502</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普通教育</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21.80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21.80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4</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高中教育</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.95</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11.95</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99</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其他普通教育支出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9.85</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9.85</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文化体育与传媒支出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8067.20</w:t>
            </w:r>
          </w:p>
        </w:tc>
        <w:tc>
          <w:tcPr>
            <w:tcW w:w="1665"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7997.06</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47.82</w:t>
            </w: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22.32</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8067.20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7997.06</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47.82</w:t>
            </w: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22.32</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2070301</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行政运行</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249.85</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249.85</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2070305</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体育竞赛</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3512.90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3512.90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2070306</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体育训练</w:t>
            </w:r>
          </w:p>
        </w:tc>
        <w:tc>
          <w:tcPr>
            <w:tcW w:w="163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5.00</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5.00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2070307</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体育场馆</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2,163.60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2,163.60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0.77</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2070308</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群众体育</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1614.31</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1,614.31</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47.82</w:t>
            </w: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21.55</w:t>
            </w: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2070309</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体育交流与合作</w:t>
            </w:r>
          </w:p>
        </w:tc>
        <w:tc>
          <w:tcPr>
            <w:tcW w:w="163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2.70</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2.70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2070399</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其他体育支出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448.70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448.70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社会保障和就业支出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345.70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345.70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行政事业单位离退休</w:t>
            </w:r>
          </w:p>
        </w:tc>
        <w:tc>
          <w:tcPr>
            <w:tcW w:w="1635"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345.70</w:t>
            </w:r>
          </w:p>
        </w:tc>
        <w:tc>
          <w:tcPr>
            <w:tcW w:w="1665"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345.70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2080501</w:t>
            </w:r>
          </w:p>
        </w:tc>
        <w:tc>
          <w:tcPr>
            <w:tcW w:w="3228"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归口管理的行政单位离退休</w:t>
            </w:r>
          </w:p>
        </w:tc>
        <w:tc>
          <w:tcPr>
            <w:tcW w:w="163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30.77</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30.77</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2080502</w:t>
            </w:r>
          </w:p>
        </w:tc>
        <w:tc>
          <w:tcPr>
            <w:tcW w:w="3228"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事业单位离退休</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108.94</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108.94</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2080505</w:t>
            </w:r>
          </w:p>
        </w:tc>
        <w:tc>
          <w:tcPr>
            <w:tcW w:w="3228"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机关事业单位基本养老保险缴费支出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206.00</w:t>
            </w:r>
          </w:p>
        </w:tc>
        <w:tc>
          <w:tcPr>
            <w:tcW w:w="166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206.00</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210</w:t>
            </w:r>
          </w:p>
        </w:tc>
        <w:tc>
          <w:tcPr>
            <w:tcW w:w="322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医疗卫生与计划生育支出</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89.29</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89.29</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w:t>
            </w:r>
          </w:p>
        </w:tc>
        <w:tc>
          <w:tcPr>
            <w:tcW w:w="3228"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行政事业单位医疗</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89.29</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89.29</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2101101</w:t>
            </w:r>
          </w:p>
        </w:tc>
        <w:tc>
          <w:tcPr>
            <w:tcW w:w="3228"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行政单位医疗</w:t>
            </w:r>
          </w:p>
        </w:tc>
        <w:tc>
          <w:tcPr>
            <w:tcW w:w="163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11.92</w:t>
            </w:r>
          </w:p>
        </w:tc>
        <w:tc>
          <w:tcPr>
            <w:tcW w:w="1665" w:type="dxa"/>
            <w:tcBorders>
              <w:top w:val="nil"/>
              <w:left w:val="nil"/>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11.92</w:t>
            </w:r>
          </w:p>
        </w:tc>
        <w:tc>
          <w:tcPr>
            <w:tcW w:w="1274"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2101102</w:t>
            </w:r>
          </w:p>
        </w:tc>
        <w:tc>
          <w:tcPr>
            <w:tcW w:w="3228" w:type="dxa"/>
            <w:tcBorders>
              <w:top w:val="single" w:color="auto" w:sz="4" w:space="0"/>
              <w:left w:val="single" w:color="auto" w:sz="4" w:space="0"/>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事业单位医疗</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65.00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65.00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2101103</w:t>
            </w:r>
          </w:p>
        </w:tc>
        <w:tc>
          <w:tcPr>
            <w:tcW w:w="322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公务员医疗补助</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11.97</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11.97</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2101199</w:t>
            </w:r>
          </w:p>
        </w:tc>
        <w:tc>
          <w:tcPr>
            <w:tcW w:w="3228" w:type="dxa"/>
            <w:tcBorders>
              <w:top w:val="single" w:color="auto" w:sz="4" w:space="0"/>
              <w:left w:val="single" w:color="auto" w:sz="4" w:space="0"/>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其他行政事业单位医疗支出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0.40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0.40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住房保障支出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住房改革支出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2210201</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住房公积金</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143.38</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143.38</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2210203</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购房补贴</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0.80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0.80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其他支出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2.60</w:t>
            </w: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22960</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彩票公益金及对应专项债务收入安排的支出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2296003</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用于体育事业的彩票公益金支出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1305.95</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22999</w:t>
            </w:r>
          </w:p>
        </w:tc>
        <w:tc>
          <w:tcPr>
            <w:tcW w:w="322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2.60</w:t>
            </w:r>
          </w:p>
        </w:tc>
      </w:tr>
      <w:tr>
        <w:tblPrEx>
          <w:tblLayout w:type="fixed"/>
          <w:tblCellMar>
            <w:top w:w="0" w:type="dxa"/>
            <w:left w:w="108" w:type="dxa"/>
            <w:bottom w:w="0" w:type="dxa"/>
            <w:right w:w="108" w:type="dxa"/>
          </w:tblCellMar>
        </w:tblPrEx>
        <w:trPr>
          <w:trHeight w:val="288" w:hRule="atLeast"/>
          <w:jc w:val="center"/>
        </w:trPr>
        <w:tc>
          <w:tcPr>
            <w:tcW w:w="117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2299901</w:t>
            </w:r>
          </w:p>
        </w:tc>
        <w:tc>
          <w:tcPr>
            <w:tcW w:w="322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其他支出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ind w:firstLine="880" w:firstLineChars="400"/>
              <w:jc w:val="right"/>
              <w:rPr>
                <w:rFonts w:hint="eastAsia" w:asciiTheme="minorEastAsia" w:hAnsiTheme="minorEastAsia" w:eastAsiaTheme="minorEastAsia" w:cstheme="minorEastAsia"/>
                <w:color w:val="000000"/>
                <w:kern w:val="0"/>
                <w:sz w:val="22"/>
                <w:szCs w:val="22"/>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2.60</w:t>
            </w: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6"/>
        <w:tblW w:w="14370" w:type="dxa"/>
        <w:jc w:val="center"/>
        <w:tblInd w:w="1" w:type="dxa"/>
        <w:tblLayout w:type="fixed"/>
        <w:tblCellMar>
          <w:top w:w="0" w:type="dxa"/>
          <w:left w:w="108" w:type="dxa"/>
          <w:bottom w:w="0" w:type="dxa"/>
          <w:right w:w="108" w:type="dxa"/>
        </w:tblCellMar>
      </w:tblPr>
      <w:tblGrid>
        <w:gridCol w:w="1082"/>
        <w:gridCol w:w="3140"/>
        <w:gridCol w:w="1650"/>
        <w:gridCol w:w="2205"/>
        <w:gridCol w:w="1930"/>
        <w:gridCol w:w="1348"/>
        <w:gridCol w:w="1394"/>
        <w:gridCol w:w="1621"/>
      </w:tblGrid>
      <w:tr>
        <w:tblPrEx>
          <w:tblLayout w:type="fixed"/>
          <w:tblCellMar>
            <w:top w:w="0" w:type="dxa"/>
            <w:left w:w="108" w:type="dxa"/>
            <w:bottom w:w="0" w:type="dxa"/>
            <w:right w:w="108" w:type="dxa"/>
          </w:tblCellMar>
        </w:tblPrEx>
        <w:trPr>
          <w:trHeight w:val="288" w:hRule="atLeast"/>
          <w:jc w:val="center"/>
        </w:trPr>
        <w:tc>
          <w:tcPr>
            <w:tcW w:w="4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3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3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6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314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22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220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93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34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39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62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422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合计</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10658.36</w:t>
            </w:r>
          </w:p>
        </w:tc>
        <w:tc>
          <w:tcPr>
            <w:tcW w:w="2205"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2546.12</w:t>
            </w:r>
          </w:p>
        </w:tc>
        <w:tc>
          <w:tcPr>
            <w:tcW w:w="1930" w:type="dxa"/>
            <w:tcBorders>
              <w:top w:val="nil"/>
              <w:left w:val="nil"/>
              <w:bottom w:val="single" w:color="auto" w:sz="4" w:space="0"/>
              <w:right w:val="single" w:color="auto" w:sz="4" w:space="0"/>
            </w:tcBorders>
            <w:vAlign w:val="center"/>
          </w:tcPr>
          <w:p>
            <w:pPr>
              <w:widowControl/>
              <w:ind w:firstLine="660" w:firstLineChars="3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8112.25</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880" w:firstLineChars="4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教育支出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220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20502</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普通教育</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21.80</w:t>
            </w:r>
          </w:p>
        </w:tc>
        <w:tc>
          <w:tcPr>
            <w:tcW w:w="2205"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21.80</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024</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高中教育</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11.95</w:t>
            </w:r>
          </w:p>
        </w:tc>
        <w:tc>
          <w:tcPr>
            <w:tcW w:w="2205" w:type="dxa"/>
            <w:tcBorders>
              <w:top w:val="nil"/>
              <w:left w:val="nil"/>
              <w:bottom w:val="single" w:color="auto" w:sz="4" w:space="0"/>
              <w:right w:val="single" w:color="auto" w:sz="4" w:space="0"/>
            </w:tcBorders>
            <w:vAlign w:val="center"/>
          </w:tcPr>
          <w:p>
            <w:pPr>
              <w:widowControl/>
              <w:ind w:firstLine="1100" w:firstLineChars="5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11.95</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99</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其他普通教育支出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9.85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9.85</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文化体育与传媒支出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8527.60</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1949.67</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6577.93</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8302.13</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1949.67</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6352.45</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2070301</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行政运行</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249.85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235.62</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14.24</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2070305</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体育竞赛</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3558.74</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21.76</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3536.98</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2070306</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体育训练</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5.00</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0.00</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5.00</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2070307</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体育场馆</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2334.99</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500.02</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1834.97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2070308</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群众体育</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1702.15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1178.56</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523.59</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2070309</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体育交流与合作</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2.70</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0.00</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2.70</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2070399</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其他体育支出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448.70</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13.72</w:t>
            </w: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434.98</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20799</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其他文化体育与传媒支出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225.47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225.47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2079999</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其他文化体育与传媒支出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225.47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225.47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社会保障和就业支出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行政事业单位离退休</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54"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2080501</w:t>
            </w:r>
          </w:p>
        </w:tc>
        <w:tc>
          <w:tcPr>
            <w:tcW w:w="314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归口管理的行政单位离退休</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30.77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30.77</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2080502</w:t>
            </w:r>
          </w:p>
        </w:tc>
        <w:tc>
          <w:tcPr>
            <w:tcW w:w="314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事业单位离退休</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108.48</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108.48</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2080505</w:t>
            </w:r>
          </w:p>
        </w:tc>
        <w:tc>
          <w:tcPr>
            <w:tcW w:w="314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 xml:space="preserve">  机关事业单位基本养老保险缴费支出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203.06</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203.06</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210</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医疗卫生与计划生育支出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w:t>
            </w:r>
          </w:p>
        </w:tc>
        <w:tc>
          <w:tcPr>
            <w:tcW w:w="314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行政事业单位医疗</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2101101</w:t>
            </w:r>
          </w:p>
        </w:tc>
        <w:tc>
          <w:tcPr>
            <w:tcW w:w="314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行政单位医疗</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11.92</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11.92</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2101102</w:t>
            </w:r>
          </w:p>
        </w:tc>
        <w:tc>
          <w:tcPr>
            <w:tcW w:w="314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事业单位医疗</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64.01</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64.01</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2101103</w:t>
            </w:r>
          </w:p>
        </w:tc>
        <w:tc>
          <w:tcPr>
            <w:tcW w:w="314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 xml:space="preserve">  公务员医疗补助</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11.97</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2101199</w:t>
            </w:r>
          </w:p>
        </w:tc>
        <w:tc>
          <w:tcPr>
            <w:tcW w:w="314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其他行政事业单位医疗支出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0.24</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0.24</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color w:val="000000"/>
                <w:kern w:val="0"/>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215</w:t>
            </w:r>
          </w:p>
        </w:tc>
        <w:tc>
          <w:tcPr>
            <w:tcW w:w="3140"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资源勘探信息等支出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21502</w:t>
            </w:r>
          </w:p>
        </w:tc>
        <w:tc>
          <w:tcPr>
            <w:tcW w:w="3140"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制造业</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2150299</w:t>
            </w:r>
          </w:p>
        </w:tc>
        <w:tc>
          <w:tcPr>
            <w:tcW w:w="3140" w:type="dxa"/>
            <w:tcBorders>
              <w:top w:val="nil"/>
              <w:left w:val="nil"/>
              <w:bottom w:val="single" w:color="auto" w:sz="4" w:space="0"/>
              <w:right w:val="single" w:color="auto" w:sz="4" w:space="0"/>
            </w:tcBorders>
            <w:vAlign w:val="top"/>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其他制造业支出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28.37</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住房保障支出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144.19</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住房改革支出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144.19</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144.19</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2210201</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住房公积金</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143.38</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143.38</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2210203</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购房补贴</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0.80</w:t>
            </w:r>
          </w:p>
        </w:tc>
        <w:tc>
          <w:tcPr>
            <w:tcW w:w="2205"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0.80</w:t>
            </w:r>
          </w:p>
        </w:tc>
        <w:tc>
          <w:tcPr>
            <w:tcW w:w="1930" w:type="dxa"/>
            <w:tcBorders>
              <w:top w:val="nil"/>
              <w:left w:val="nil"/>
              <w:bottom w:val="single" w:color="auto" w:sz="4" w:space="0"/>
              <w:right w:val="single" w:color="auto" w:sz="4" w:space="0"/>
            </w:tcBorders>
            <w:vAlign w:val="center"/>
          </w:tcPr>
          <w:p>
            <w:pPr>
              <w:widowControl/>
              <w:ind w:firstLine="1320" w:firstLineChars="600"/>
              <w:jc w:val="right"/>
              <w:rPr>
                <w:rFonts w:hint="eastAsia" w:asciiTheme="minorEastAsia" w:hAnsiTheme="minorEastAsia" w:eastAsiaTheme="minorEastAsia" w:cstheme="minorEastAsia"/>
                <w:sz w:val="22"/>
                <w:szCs w:val="22"/>
              </w:rPr>
            </w:pP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其他支出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22960</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彩票公益金及对应专项债务收入安排的支出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8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2296003</w:t>
            </w:r>
          </w:p>
        </w:tc>
        <w:tc>
          <w:tcPr>
            <w:tcW w:w="314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 xml:space="preserve">  用于体育事业的彩票公益金支出</w:t>
            </w:r>
          </w:p>
        </w:tc>
        <w:tc>
          <w:tcPr>
            <w:tcW w:w="165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2205" w:type="dxa"/>
            <w:tcBorders>
              <w:top w:val="nil"/>
              <w:left w:val="nil"/>
              <w:bottom w:val="single" w:color="auto" w:sz="4" w:space="0"/>
              <w:right w:val="single" w:color="auto" w:sz="4" w:space="0"/>
            </w:tcBorders>
            <w:vAlign w:val="center"/>
          </w:tcPr>
          <w:p>
            <w:pPr>
              <w:widowControl/>
              <w:ind w:firstLine="440" w:firstLineChars="200"/>
              <w:jc w:val="right"/>
              <w:rPr>
                <w:rFonts w:hint="eastAsia" w:asciiTheme="minorEastAsia" w:hAnsiTheme="minorEastAsia" w:eastAsiaTheme="minorEastAsia" w:cstheme="minorEastAsia"/>
                <w:color w:val="000000"/>
                <w:kern w:val="0"/>
                <w:sz w:val="22"/>
                <w:szCs w:val="22"/>
              </w:rPr>
            </w:pPr>
          </w:p>
        </w:tc>
        <w:tc>
          <w:tcPr>
            <w:tcW w:w="193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1505.95</w:t>
            </w:r>
          </w:p>
        </w:tc>
        <w:tc>
          <w:tcPr>
            <w:tcW w:w="1348"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394" w:type="dxa"/>
            <w:tcBorders>
              <w:top w:val="nil"/>
              <w:left w:val="nil"/>
              <w:bottom w:val="single" w:color="auto" w:sz="4" w:space="0"/>
              <w:right w:val="single" w:color="auto" w:sz="4" w:space="0"/>
            </w:tcBorders>
            <w:vAlign w:val="top"/>
          </w:tcPr>
          <w:p>
            <w:pPr>
              <w:widowControl/>
              <w:ind w:firstLine="440" w:firstLineChars="200"/>
              <w:jc w:val="left"/>
              <w:rPr>
                <w:rFonts w:hint="eastAsia" w:asciiTheme="minorEastAsia" w:hAnsiTheme="minorEastAsia" w:eastAsiaTheme="minorEastAsia" w:cstheme="minorEastAsia"/>
                <w:color w:val="000000"/>
                <w:kern w:val="0"/>
                <w:sz w:val="22"/>
                <w:szCs w:val="22"/>
              </w:rPr>
            </w:pPr>
          </w:p>
        </w:tc>
        <w:tc>
          <w:tcPr>
            <w:tcW w:w="162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6"/>
        <w:tblW w:w="13933" w:type="dxa"/>
        <w:jc w:val="center"/>
        <w:tblInd w:w="93" w:type="dxa"/>
        <w:tblLayout w:type="fixed"/>
        <w:tblCellMar>
          <w:top w:w="0" w:type="dxa"/>
          <w:left w:w="108" w:type="dxa"/>
          <w:bottom w:w="0" w:type="dxa"/>
          <w:right w:w="108" w:type="dxa"/>
        </w:tblCellMar>
      </w:tblPr>
      <w:tblGrid>
        <w:gridCol w:w="4078"/>
        <w:gridCol w:w="840"/>
        <w:gridCol w:w="1230"/>
        <w:gridCol w:w="3372"/>
        <w:gridCol w:w="681"/>
        <w:gridCol w:w="1253"/>
        <w:gridCol w:w="1163"/>
        <w:gridCol w:w="1316"/>
      </w:tblGrid>
      <w:tr>
        <w:tblPrEx>
          <w:tblLayout w:type="fixed"/>
          <w:tblCellMar>
            <w:top w:w="0" w:type="dxa"/>
            <w:left w:w="108" w:type="dxa"/>
            <w:bottom w:w="0" w:type="dxa"/>
            <w:right w:w="108" w:type="dxa"/>
          </w:tblCellMar>
        </w:tblPrEx>
        <w:trPr>
          <w:trHeight w:val="300" w:hRule="atLeast"/>
          <w:jc w:val="center"/>
        </w:trPr>
        <w:tc>
          <w:tcPr>
            <w:tcW w:w="6148"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jc w:val="center"/>
        </w:trPr>
        <w:tc>
          <w:tcPr>
            <w:tcW w:w="407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5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6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6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一、一般公共预算财政拨款</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8598.04</w:t>
            </w: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w:t>
            </w:r>
          </w:p>
        </w:tc>
        <w:tc>
          <w:tcPr>
            <w:tcW w:w="1253" w:type="dxa"/>
            <w:tcBorders>
              <w:top w:val="nil"/>
              <w:left w:val="nil"/>
              <w:bottom w:val="single" w:color="auto" w:sz="4" w:space="0"/>
              <w:right w:val="single" w:color="auto" w:sz="4" w:space="0"/>
            </w:tcBorders>
            <w:vAlign w:val="top"/>
          </w:tcPr>
          <w:p>
            <w:pPr>
              <w:widowControl/>
              <w:ind w:firstLine="880" w:firstLineChars="4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163" w:type="dxa"/>
            <w:tcBorders>
              <w:top w:val="nil"/>
              <w:left w:val="nil"/>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二、政府性基金预算财政拨款</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1305.95</w:t>
            </w: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19</w:t>
            </w:r>
          </w:p>
        </w:tc>
        <w:tc>
          <w:tcPr>
            <w:tcW w:w="1253" w:type="dxa"/>
            <w:tcBorders>
              <w:top w:val="nil"/>
              <w:left w:val="nil"/>
              <w:bottom w:val="single" w:color="auto" w:sz="4" w:space="0"/>
              <w:right w:val="single" w:color="auto" w:sz="4" w:space="0"/>
            </w:tcBorders>
            <w:vAlign w:val="top"/>
          </w:tcPr>
          <w:p>
            <w:pPr>
              <w:widowControl/>
              <w:ind w:firstLine="880" w:firstLineChars="4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163" w:type="dxa"/>
            <w:tcBorders>
              <w:top w:val="nil"/>
              <w:left w:val="nil"/>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bookmarkStart w:id="0" w:name="_GoBack"/>
            <w:bookmarkEnd w:id="0"/>
            <w:r>
              <w:rPr>
                <w:rFonts w:hint="eastAsia" w:asciiTheme="minorEastAsia" w:hAnsiTheme="minorEastAsia" w:eastAsiaTheme="minorEastAsia" w:cstheme="minorEastAsia"/>
                <w:color w:val="000000"/>
                <w:kern w:val="0"/>
                <w:sz w:val="22"/>
                <w:szCs w:val="22"/>
              </w:rPr>
              <w:t>3</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w:t>
            </w:r>
          </w:p>
        </w:tc>
        <w:tc>
          <w:tcPr>
            <w:tcW w:w="12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w:t>
            </w:r>
          </w:p>
        </w:tc>
        <w:tc>
          <w:tcPr>
            <w:tcW w:w="1253" w:type="dxa"/>
            <w:tcBorders>
              <w:top w:val="nil"/>
              <w:left w:val="nil"/>
              <w:bottom w:val="single" w:color="auto" w:sz="4" w:space="0"/>
              <w:right w:val="single" w:color="auto" w:sz="4" w:space="0"/>
            </w:tcBorders>
            <w:vAlign w:val="center"/>
          </w:tcPr>
          <w:p>
            <w:pPr>
              <w:widowControl/>
              <w:ind w:firstLine="660" w:firstLineChars="300"/>
              <w:jc w:val="center"/>
              <w:rPr>
                <w:rFonts w:hint="eastAsia" w:asciiTheme="minorEastAsia" w:hAnsiTheme="minorEastAsia" w:eastAsiaTheme="minorEastAsia" w:cstheme="minorEastAsia"/>
                <w:color w:val="000000"/>
                <w:kern w:val="0"/>
                <w:sz w:val="22"/>
                <w:szCs w:val="22"/>
              </w:rPr>
            </w:pP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五、文化体育与传媒支出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w:t>
            </w:r>
          </w:p>
        </w:tc>
        <w:tc>
          <w:tcPr>
            <w:tcW w:w="12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8431.72</w:t>
            </w: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8431.72</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w:t>
            </w:r>
          </w:p>
        </w:tc>
        <w:tc>
          <w:tcPr>
            <w:tcW w:w="12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342.31</w:t>
            </w:r>
          </w:p>
        </w:tc>
        <w:tc>
          <w:tcPr>
            <w:tcW w:w="1316" w:type="dxa"/>
            <w:tcBorders>
              <w:top w:val="nil"/>
              <w:left w:val="nil"/>
              <w:bottom w:val="single" w:color="auto" w:sz="4" w:space="0"/>
              <w:right w:val="single" w:color="auto" w:sz="4" w:space="0"/>
            </w:tcBorders>
            <w:vAlign w:val="center"/>
          </w:tcPr>
          <w:p>
            <w:pPr>
              <w:widowControl/>
              <w:ind w:firstLine="880" w:firstLineChars="4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七、医疗卫生与计划生育支出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w:t>
            </w:r>
          </w:p>
        </w:tc>
        <w:tc>
          <w:tcPr>
            <w:tcW w:w="12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88.14</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八、城乡社区支出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25</w:t>
            </w:r>
          </w:p>
        </w:tc>
        <w:tc>
          <w:tcPr>
            <w:tcW w:w="1253" w:type="dxa"/>
            <w:tcBorders>
              <w:top w:val="nil"/>
              <w:left w:val="nil"/>
              <w:bottom w:val="single" w:color="auto" w:sz="4" w:space="0"/>
              <w:right w:val="single" w:color="auto" w:sz="4" w:space="0"/>
            </w:tcBorders>
            <w:vAlign w:val="center"/>
          </w:tcPr>
          <w:p>
            <w:pPr>
              <w:widowControl/>
              <w:ind w:firstLine="660" w:firstLineChars="300"/>
              <w:jc w:val="center"/>
              <w:rPr>
                <w:rFonts w:hint="eastAsia" w:asciiTheme="minorEastAsia" w:hAnsiTheme="minorEastAsia" w:eastAsiaTheme="minorEastAsia" w:cstheme="minorEastAsia"/>
                <w:color w:val="000000"/>
                <w:kern w:val="0"/>
                <w:sz w:val="22"/>
                <w:szCs w:val="22"/>
              </w:rPr>
            </w:pP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九、资源勘探信息等支出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w:t>
            </w:r>
          </w:p>
        </w:tc>
        <w:tc>
          <w:tcPr>
            <w:tcW w:w="125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十、商业服务业等支出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w:t>
            </w:r>
          </w:p>
        </w:tc>
        <w:tc>
          <w:tcPr>
            <w:tcW w:w="1253" w:type="dxa"/>
            <w:tcBorders>
              <w:top w:val="nil"/>
              <w:left w:val="nil"/>
              <w:bottom w:val="single" w:color="auto" w:sz="4" w:space="0"/>
              <w:right w:val="single" w:color="auto" w:sz="4" w:space="0"/>
            </w:tcBorders>
            <w:vAlign w:val="center"/>
          </w:tcPr>
          <w:p>
            <w:pPr>
              <w:widowControl/>
              <w:ind w:firstLine="660" w:firstLineChars="300"/>
              <w:jc w:val="center"/>
              <w:rPr>
                <w:rFonts w:hint="eastAsia" w:asciiTheme="minorEastAsia" w:hAnsiTheme="minorEastAsia" w:eastAsiaTheme="minorEastAsia" w:cstheme="minorEastAsia"/>
                <w:color w:val="000000"/>
                <w:kern w:val="0"/>
                <w:sz w:val="22"/>
                <w:szCs w:val="22"/>
              </w:rPr>
            </w:pPr>
          </w:p>
        </w:tc>
        <w:tc>
          <w:tcPr>
            <w:tcW w:w="116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十一、住房保障支出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w:t>
            </w:r>
          </w:p>
        </w:tc>
        <w:tc>
          <w:tcPr>
            <w:tcW w:w="1253" w:type="dxa"/>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44.19</w:t>
            </w:r>
          </w:p>
        </w:tc>
        <w:tc>
          <w:tcPr>
            <w:tcW w:w="116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144.19</w:t>
            </w:r>
          </w:p>
        </w:tc>
        <w:tc>
          <w:tcPr>
            <w:tcW w:w="1316" w:type="dxa"/>
            <w:tcBorders>
              <w:top w:val="single" w:color="auto" w:sz="4" w:space="0"/>
              <w:left w:val="single" w:color="000000" w:sz="4" w:space="0"/>
              <w:bottom w:val="single" w:color="auto" w:sz="4" w:space="0"/>
              <w:right w:val="single" w:color="auto" w:sz="4" w:space="0"/>
            </w:tcBorders>
            <w:vAlign w:val="center"/>
          </w:tcPr>
          <w:p>
            <w:pPr>
              <w:widowControl/>
              <w:ind w:firstLine="2420" w:firstLineChars="1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本年收入合计</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9903.99</w:t>
            </w: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十二、其他支出</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29</w:t>
            </w:r>
          </w:p>
        </w:tc>
        <w:tc>
          <w:tcPr>
            <w:tcW w:w="1253" w:type="dxa"/>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505.95</w:t>
            </w:r>
          </w:p>
        </w:tc>
        <w:tc>
          <w:tcPr>
            <w:tcW w:w="1163" w:type="dxa"/>
            <w:tcBorders>
              <w:top w:val="single" w:color="auto" w:sz="4" w:space="0"/>
              <w:left w:val="single" w:color="000000" w:sz="4" w:space="0"/>
              <w:bottom w:val="single" w:color="auto" w:sz="4" w:space="0"/>
              <w:right w:val="single" w:color="000000" w:sz="4" w:space="0"/>
            </w:tcBorders>
            <w:vAlign w:val="center"/>
          </w:tcPr>
          <w:p>
            <w:pPr>
              <w:widowControl/>
              <w:ind w:firstLine="2420" w:firstLineChars="1100"/>
              <w:jc w:val="center"/>
              <w:rPr>
                <w:rFonts w:hint="eastAsia" w:asciiTheme="minorEastAsia" w:hAnsiTheme="minorEastAsia" w:eastAsiaTheme="minorEastAsia" w:cstheme="minorEastAsia"/>
                <w:color w:val="000000"/>
                <w:kern w:val="0"/>
                <w:sz w:val="22"/>
                <w:szCs w:val="22"/>
              </w:rPr>
            </w:pPr>
          </w:p>
        </w:tc>
        <w:tc>
          <w:tcPr>
            <w:tcW w:w="1316"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505.95</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年初财政拨款结转和结余</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811.67</w:t>
            </w:r>
          </w:p>
        </w:tc>
        <w:tc>
          <w:tcPr>
            <w:tcW w:w="3372"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w:t>
            </w:r>
          </w:p>
        </w:tc>
        <w:tc>
          <w:tcPr>
            <w:tcW w:w="1253" w:type="dxa"/>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0562.48</w:t>
            </w:r>
          </w:p>
        </w:tc>
        <w:tc>
          <w:tcPr>
            <w:tcW w:w="116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056.53</w:t>
            </w:r>
          </w:p>
        </w:tc>
        <w:tc>
          <w:tcPr>
            <w:tcW w:w="1316"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505.95</w:t>
            </w: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ind w:firstLine="1100" w:firstLineChars="50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一般公共预算财政拨款</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611.67</w:t>
            </w: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r>
              <w:rPr>
                <w:rFonts w:hint="eastAsia" w:asciiTheme="minorEastAsia" w:hAnsiTheme="minorEastAsia" w:eastAsiaTheme="minorEastAsia" w:cstheme="minorEastAsia"/>
                <w:kern w:val="0"/>
                <w:sz w:val="22"/>
                <w:szCs w:val="22"/>
              </w:rPr>
              <w:t>年末结转和结余</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31</w:t>
            </w:r>
          </w:p>
        </w:tc>
        <w:tc>
          <w:tcPr>
            <w:tcW w:w="1253" w:type="dxa"/>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53.18</w:t>
            </w:r>
          </w:p>
        </w:tc>
        <w:tc>
          <w:tcPr>
            <w:tcW w:w="116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53.18</w:t>
            </w:r>
          </w:p>
        </w:tc>
        <w:tc>
          <w:tcPr>
            <w:tcW w:w="1316" w:type="dxa"/>
            <w:tcBorders>
              <w:top w:val="single" w:color="auto" w:sz="4" w:space="0"/>
              <w:left w:val="single" w:color="000000" w:sz="4" w:space="0"/>
              <w:bottom w:val="single" w:color="auto" w:sz="4" w:space="0"/>
              <w:right w:val="single" w:color="auto" w:sz="4" w:space="0"/>
            </w:tcBorders>
            <w:vAlign w:val="center"/>
          </w:tcPr>
          <w:p>
            <w:pPr>
              <w:widowControl/>
              <w:ind w:firstLine="2420" w:firstLineChars="1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ind w:firstLine="1100" w:firstLineChars="5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政府性基金预算财政拨款</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15</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200.00</w:t>
            </w: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center"/>
          </w:tcPr>
          <w:p>
            <w:pPr>
              <w:widowControl/>
              <w:ind w:firstLine="2420" w:firstLineChars="1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w:t>
            </w:r>
          </w:p>
        </w:tc>
        <w:tc>
          <w:tcPr>
            <w:tcW w:w="123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center"/>
          </w:tcPr>
          <w:p>
            <w:pPr>
              <w:widowControl/>
              <w:ind w:firstLine="2420" w:firstLineChars="1100"/>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78" w:type="dxa"/>
            <w:tcBorders>
              <w:top w:val="nil"/>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合计</w:t>
            </w:r>
          </w:p>
        </w:tc>
        <w:tc>
          <w:tcPr>
            <w:tcW w:w="840"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w:t>
            </w:r>
          </w:p>
        </w:tc>
        <w:tc>
          <w:tcPr>
            <w:tcW w:w="123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10715.66</w:t>
            </w:r>
          </w:p>
        </w:tc>
        <w:tc>
          <w:tcPr>
            <w:tcW w:w="3372"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w:t>
            </w:r>
          </w:p>
        </w:tc>
        <w:tc>
          <w:tcPr>
            <w:tcW w:w="1253" w:type="dxa"/>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0715.66</w:t>
            </w:r>
          </w:p>
        </w:tc>
        <w:tc>
          <w:tcPr>
            <w:tcW w:w="116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209.71</w:t>
            </w:r>
          </w:p>
        </w:tc>
        <w:tc>
          <w:tcPr>
            <w:tcW w:w="1316"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505.95</w:t>
            </w:r>
          </w:p>
        </w:tc>
      </w:tr>
    </w:tbl>
    <w:tbl>
      <w:tblPr>
        <w:tblStyle w:val="7"/>
        <w:tblpPr w:leftFromText="180" w:rightFromText="180" w:vertAnchor="text" w:tblpX="15506" w:tblpY="-3221"/>
        <w:tblOverlap w:val="never"/>
        <w:tblW w:w="5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507" w:type="dxa"/>
          </w:tcPr>
          <w:p>
            <w:pPr>
              <w:rPr>
                <w:rFonts w:hint="eastAsia"/>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507" w:type="dxa"/>
          </w:tcPr>
          <w:p>
            <w:pPr>
              <w:rPr>
                <w:rFonts w:hint="eastAsia"/>
                <w:vertAlign w:val="baseline"/>
                <w:lang w:eastAsia="zh-CN"/>
              </w:rPr>
            </w:pPr>
          </w:p>
        </w:tc>
      </w:tr>
    </w:tbl>
    <w:tbl>
      <w:tblPr>
        <w:tblStyle w:val="7"/>
        <w:tblpPr w:leftFromText="180" w:rightFromText="180" w:vertAnchor="text" w:tblpX="15506" w:tblpY="-2531"/>
        <w:tblOverlap w:val="never"/>
        <w:tblW w:w="1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167" w:type="dxa"/>
          </w:tcPr>
          <w:p>
            <w:pPr>
              <w:rPr>
                <w:rFonts w:hint="eastAsia"/>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167" w:type="dxa"/>
          </w:tcPr>
          <w:p>
            <w:pPr>
              <w:rPr>
                <w:rFonts w:hint="eastAsia"/>
                <w:vertAlign w:val="baseline"/>
                <w:lang w:eastAsia="zh-CN"/>
              </w:rPr>
            </w:pPr>
          </w:p>
        </w:tc>
      </w:tr>
    </w:tbl>
    <w:tbl>
      <w:tblPr>
        <w:tblStyle w:val="7"/>
        <w:tblpPr w:leftFromText="180" w:rightFromText="180" w:vertAnchor="text" w:tblpX="15506" w:tblpY="-2591"/>
        <w:tblOverlap w:val="never"/>
        <w:tblW w:w="1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167" w:type="dxa"/>
          </w:tcPr>
          <w:p>
            <w:pPr>
              <w:rPr>
                <w:rFonts w:hint="eastAsia"/>
                <w:vertAlign w:val="baseline"/>
                <w:lang w:eastAsia="zh-CN"/>
              </w:rPr>
            </w:pPr>
          </w:p>
        </w:tc>
      </w:tr>
    </w:tbl>
    <w:tbl>
      <w:tblPr>
        <w:tblStyle w:val="7"/>
        <w:tblpPr w:leftFromText="180" w:rightFromText="180" w:vertAnchor="text" w:tblpX="15506" w:tblpY="-2516"/>
        <w:tblOverlap w:val="never"/>
        <w:tblW w:w="1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242" w:type="dxa"/>
          </w:tcPr>
          <w:p>
            <w:pPr>
              <w:rPr>
                <w:rFonts w:hint="eastAsia"/>
                <w:vertAlign w:val="baseline"/>
                <w:lang w:eastAsia="zh-CN"/>
              </w:rPr>
            </w:pP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Ind w:w="25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9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合计</w:t>
            </w:r>
          </w:p>
        </w:tc>
        <w:tc>
          <w:tcPr>
            <w:tcW w:w="2900" w:type="dxa"/>
            <w:tcBorders>
              <w:top w:val="nil"/>
              <w:left w:val="nil"/>
              <w:bottom w:val="single" w:color="auto" w:sz="4" w:space="0"/>
              <w:right w:val="single" w:color="auto" w:sz="4" w:space="0"/>
            </w:tcBorders>
            <w:vAlign w:val="top"/>
          </w:tcPr>
          <w:p>
            <w:pPr>
              <w:widowControl/>
              <w:ind w:firstLine="1760" w:firstLineChars="8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9056.53　</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2472.00　</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6584.52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教育支出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20502</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普通教育</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21.80</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4</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高中教育</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11.95</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11.95</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2050</w:t>
            </w: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99</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其他普通教育支出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9.85</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9.85</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文化体育与传媒支出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8431.72</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1875.56</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6556.16</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8206.24</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1875.56</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6330.68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2070301</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行政运行</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249.85</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235.62</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14.24</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2070305</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体育竞赛</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3558.74</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21.76</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3536.98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2070306</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体育训练</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5.00</w:t>
            </w:r>
          </w:p>
        </w:tc>
        <w:tc>
          <w:tcPr>
            <w:tcW w:w="2900" w:type="dxa"/>
            <w:tcBorders>
              <w:top w:val="nil"/>
              <w:left w:val="nil"/>
              <w:bottom w:val="single" w:color="auto" w:sz="4" w:space="0"/>
              <w:right w:val="single" w:color="auto" w:sz="4" w:space="0"/>
            </w:tcBorders>
            <w:vAlign w:val="top"/>
          </w:tcPr>
          <w:p>
            <w:pPr>
              <w:widowControl/>
              <w:ind w:firstLine="2640" w:firstLineChars="1200"/>
              <w:jc w:val="righ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2070307</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体育场馆</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2312.49</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499.29</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1813.20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2070308</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群众体育</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1628.77</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1105.18</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523.59</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2070309</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体育交流与合作</w:t>
            </w:r>
          </w:p>
        </w:tc>
        <w:tc>
          <w:tcPr>
            <w:tcW w:w="2900" w:type="dxa"/>
            <w:tcBorders>
              <w:top w:val="nil"/>
              <w:left w:val="nil"/>
              <w:bottom w:val="single" w:color="auto" w:sz="4" w:space="0"/>
              <w:right w:val="single" w:color="auto" w:sz="4" w:space="0"/>
            </w:tcBorders>
            <w:vAlign w:val="top"/>
          </w:tcPr>
          <w:p>
            <w:pPr>
              <w:widowControl/>
              <w:ind w:firstLine="2420" w:firstLineChars="1100"/>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2.70</w:t>
            </w:r>
          </w:p>
        </w:tc>
        <w:tc>
          <w:tcPr>
            <w:tcW w:w="2900" w:type="dxa"/>
            <w:tcBorders>
              <w:top w:val="nil"/>
              <w:left w:val="nil"/>
              <w:bottom w:val="single" w:color="auto" w:sz="4" w:space="0"/>
              <w:right w:val="single" w:color="auto" w:sz="4" w:space="0"/>
            </w:tcBorders>
            <w:vAlign w:val="top"/>
          </w:tcPr>
          <w:p>
            <w:pPr>
              <w:widowControl/>
              <w:ind w:firstLine="2640" w:firstLineChars="1200"/>
              <w:jc w:val="righ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2070399</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其他体育支出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448.70</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13.72</w:t>
            </w: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434.98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20799</w:t>
            </w:r>
            <w:r>
              <w:rPr>
                <w:rFonts w:hint="eastAsia" w:asciiTheme="minorEastAsia" w:hAnsiTheme="minorEastAsia" w:eastAsiaTheme="minorEastAsia" w:cstheme="minorEastAsia"/>
                <w:color w:val="000000"/>
                <w:kern w:val="0"/>
                <w:sz w:val="22"/>
                <w:szCs w:val="22"/>
              </w:rPr>
              <w:tab/>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其他文化体育与传媒支出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225.47</w:t>
            </w:r>
          </w:p>
        </w:tc>
        <w:tc>
          <w:tcPr>
            <w:tcW w:w="2900" w:type="dxa"/>
            <w:tcBorders>
              <w:top w:val="nil"/>
              <w:left w:val="nil"/>
              <w:bottom w:val="single" w:color="auto" w:sz="4" w:space="0"/>
              <w:right w:val="single" w:color="auto" w:sz="4" w:space="0"/>
            </w:tcBorders>
            <w:vAlign w:val="top"/>
          </w:tcPr>
          <w:p>
            <w:pPr>
              <w:widowControl/>
              <w:ind w:firstLine="2640" w:firstLineChars="1200"/>
              <w:jc w:val="lef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225.47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2079999</w:t>
            </w:r>
            <w:r>
              <w:rPr>
                <w:rFonts w:hint="eastAsia" w:asciiTheme="minorEastAsia" w:hAnsiTheme="minorEastAsia" w:eastAsiaTheme="minorEastAsia" w:cstheme="minorEastAsia"/>
                <w:color w:val="000000"/>
                <w:kern w:val="0"/>
                <w:sz w:val="22"/>
                <w:szCs w:val="22"/>
              </w:rPr>
              <w:tab/>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 xml:space="preserve">  其他文化体育与传媒支出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225.47</w:t>
            </w:r>
          </w:p>
        </w:tc>
        <w:tc>
          <w:tcPr>
            <w:tcW w:w="2900" w:type="dxa"/>
            <w:tcBorders>
              <w:top w:val="nil"/>
              <w:left w:val="nil"/>
              <w:bottom w:val="single" w:color="auto" w:sz="4" w:space="0"/>
              <w:right w:val="single" w:color="auto" w:sz="4" w:space="0"/>
            </w:tcBorders>
            <w:vAlign w:val="top"/>
          </w:tcPr>
          <w:p>
            <w:pPr>
              <w:widowControl/>
              <w:ind w:firstLine="2640" w:firstLineChars="1200"/>
              <w:jc w:val="lef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225.47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社会保障和就业支出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342.31</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342.31</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行政事业单位离退休</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342.31</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342.31</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2080501</w:t>
            </w:r>
          </w:p>
        </w:tc>
        <w:tc>
          <w:tcPr>
            <w:tcW w:w="3000" w:type="dxa"/>
            <w:tcBorders>
              <w:top w:val="nil"/>
              <w:left w:val="nil"/>
              <w:bottom w:val="single" w:color="auto" w:sz="4" w:space="0"/>
              <w:right w:val="single" w:color="auto" w:sz="4" w:space="0"/>
            </w:tcBorders>
            <w:vAlign w:val="center"/>
          </w:tcPr>
          <w:p>
            <w:pPr>
              <w:widowControl/>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归口管理的行政单位离退休</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30.77</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30.77</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2080502</w:t>
            </w:r>
          </w:p>
        </w:tc>
        <w:tc>
          <w:tcPr>
            <w:tcW w:w="300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事业单位离退休</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108.48</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108.48</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92"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2080505</w:t>
            </w:r>
          </w:p>
        </w:tc>
        <w:tc>
          <w:tcPr>
            <w:tcW w:w="300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 xml:space="preserve">  机关事业单位基本养老保险缴费支出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203.06</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203.06</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210</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医疗卫生与计划生育支出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88.14</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88.14</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w:t>
            </w:r>
          </w:p>
        </w:tc>
        <w:tc>
          <w:tcPr>
            <w:tcW w:w="300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行政事业单位医疗</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88.14</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88.14</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2101101</w:t>
            </w:r>
          </w:p>
        </w:tc>
        <w:tc>
          <w:tcPr>
            <w:tcW w:w="300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行政单位医疗</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11.92</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11.92</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2101102</w:t>
            </w:r>
          </w:p>
        </w:tc>
        <w:tc>
          <w:tcPr>
            <w:tcW w:w="300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事业单位医疗</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64.01</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64.01</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2101103</w:t>
            </w:r>
          </w:p>
        </w:tc>
        <w:tc>
          <w:tcPr>
            <w:tcW w:w="300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 xml:space="preserve">  公务员医疗补助</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11.97</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11.97</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2101199</w:t>
            </w:r>
          </w:p>
        </w:tc>
        <w:tc>
          <w:tcPr>
            <w:tcW w:w="300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sz w:val="22"/>
                <w:szCs w:val="22"/>
              </w:rPr>
              <w:t>其他行政事业单位医疗支出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0.24</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0.24</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215</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tc>
        <w:tc>
          <w:tcPr>
            <w:tcW w:w="300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资源勘探信息等支出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c>
          <w:tcPr>
            <w:tcW w:w="2900" w:type="dxa"/>
            <w:tcBorders>
              <w:top w:val="nil"/>
              <w:left w:val="nil"/>
              <w:bottom w:val="single" w:color="auto" w:sz="4" w:space="0"/>
              <w:right w:val="single" w:color="auto" w:sz="4" w:space="0"/>
            </w:tcBorders>
            <w:vAlign w:val="top"/>
          </w:tcPr>
          <w:p>
            <w:pPr>
              <w:widowControl/>
              <w:ind w:firstLine="2640" w:firstLineChars="1200"/>
              <w:jc w:val="lef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21502</w:t>
            </w:r>
            <w:r>
              <w:rPr>
                <w:rFonts w:hint="eastAsia" w:asciiTheme="minorEastAsia" w:hAnsiTheme="minorEastAsia" w:eastAsiaTheme="minorEastAsia" w:cstheme="minorEastAsia"/>
                <w:sz w:val="22"/>
                <w:szCs w:val="22"/>
              </w:rPr>
              <w:tab/>
            </w:r>
          </w:p>
        </w:tc>
        <w:tc>
          <w:tcPr>
            <w:tcW w:w="3000"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制造业</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c>
          <w:tcPr>
            <w:tcW w:w="2900" w:type="dxa"/>
            <w:tcBorders>
              <w:top w:val="nil"/>
              <w:left w:val="nil"/>
              <w:bottom w:val="single" w:color="auto" w:sz="4" w:space="0"/>
              <w:right w:val="single" w:color="auto" w:sz="4" w:space="0"/>
            </w:tcBorders>
            <w:vAlign w:val="top"/>
          </w:tcPr>
          <w:p>
            <w:pPr>
              <w:widowControl/>
              <w:ind w:firstLine="2640" w:firstLineChars="1200"/>
              <w:jc w:val="lef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2150299</w:t>
            </w:r>
            <w:r>
              <w:rPr>
                <w:rFonts w:hint="eastAsia" w:asciiTheme="minorEastAsia" w:hAnsiTheme="minorEastAsia" w:eastAsiaTheme="minorEastAsia" w:cstheme="minorEastAsia"/>
                <w:sz w:val="22"/>
                <w:szCs w:val="22"/>
              </w:rPr>
              <w:tab/>
            </w:r>
          </w:p>
        </w:tc>
        <w:tc>
          <w:tcPr>
            <w:tcW w:w="3000" w:type="dxa"/>
            <w:tcBorders>
              <w:top w:val="nil"/>
              <w:left w:val="nil"/>
              <w:bottom w:val="single" w:color="auto" w:sz="4" w:space="0"/>
              <w:right w:val="single" w:color="auto" w:sz="4" w:space="0"/>
            </w:tcBorders>
            <w:vAlign w:val="center"/>
          </w:tcPr>
          <w:p>
            <w:pPr>
              <w:ind w:firstLine="220" w:firstLineChars="1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其他制造业支出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c>
          <w:tcPr>
            <w:tcW w:w="2900" w:type="dxa"/>
            <w:tcBorders>
              <w:top w:val="nil"/>
              <w:left w:val="nil"/>
              <w:bottom w:val="single" w:color="auto" w:sz="4" w:space="0"/>
              <w:right w:val="single" w:color="auto" w:sz="4" w:space="0"/>
            </w:tcBorders>
            <w:vAlign w:val="top"/>
          </w:tcPr>
          <w:p>
            <w:pPr>
              <w:widowControl/>
              <w:ind w:firstLine="2640" w:firstLineChars="1200"/>
              <w:jc w:val="left"/>
              <w:rPr>
                <w:rFonts w:hint="eastAsia" w:asciiTheme="minorEastAsia" w:hAnsiTheme="minorEastAsia" w:eastAsiaTheme="minorEastAsia" w:cstheme="minorEastAsia"/>
                <w:color w:val="000000"/>
                <w:kern w:val="0"/>
                <w:sz w:val="22"/>
                <w:szCs w:val="22"/>
              </w:rPr>
            </w:pPr>
          </w:p>
        </w:tc>
        <w:tc>
          <w:tcPr>
            <w:tcW w:w="3396"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28.37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221</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住房保障支出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144.19</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144.19</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22102</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住房改革支出</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144.19</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144.19</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2210201</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住房公积金</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143.38</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143.38</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2210203</w:t>
            </w:r>
          </w:p>
        </w:tc>
        <w:tc>
          <w:tcPr>
            <w:tcW w:w="300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购房补贴</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0.80</w:t>
            </w:r>
          </w:p>
        </w:tc>
        <w:tc>
          <w:tcPr>
            <w:tcW w:w="2900"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0.80</w:t>
            </w:r>
          </w:p>
        </w:tc>
        <w:tc>
          <w:tcPr>
            <w:tcW w:w="3396" w:type="dxa"/>
            <w:tcBorders>
              <w:top w:val="nil"/>
              <w:left w:val="nil"/>
              <w:bottom w:val="single" w:color="auto" w:sz="4" w:space="0"/>
              <w:right w:val="single" w:color="auto" w:sz="4" w:space="0"/>
            </w:tcBorders>
            <w:vAlign w:val="top"/>
          </w:tcPr>
          <w:p>
            <w:pPr>
              <w:widowControl/>
              <w:ind w:firstLine="3300" w:firstLineChars="1500"/>
              <w:jc w:val="left"/>
              <w:rPr>
                <w:rFonts w:hint="eastAsia" w:asciiTheme="minorEastAsia" w:hAnsiTheme="minorEastAsia" w:eastAsiaTheme="minorEastAsia" w:cstheme="minorEastAsia"/>
                <w:color w:val="000000"/>
                <w:kern w:val="0"/>
                <w:sz w:val="22"/>
                <w:szCs w:val="22"/>
              </w:rPr>
            </w:pP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3035"/>
        <w:gridCol w:w="1036"/>
        <w:gridCol w:w="849"/>
        <w:gridCol w:w="1820"/>
        <w:gridCol w:w="149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303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036"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82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49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03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1806.52</w:t>
            </w:r>
          </w:p>
        </w:tc>
        <w:tc>
          <w:tcPr>
            <w:tcW w:w="849" w:type="dxa"/>
            <w:tcBorders>
              <w:top w:val="nil"/>
              <w:left w:val="nil"/>
              <w:bottom w:val="single" w:color="auto" w:sz="4" w:space="0"/>
              <w:right w:val="single" w:color="auto"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p>
        </w:tc>
        <w:tc>
          <w:tcPr>
            <w:tcW w:w="1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495.58</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542.80</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19.74</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130.09</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资金</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145.26</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p>
        </w:tc>
        <w:tc>
          <w:tcPr>
            <w:tcW w:w="1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0.20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30106</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伙食补助费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42.69</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30107</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绩效工资</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348.15</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146.60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30108</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222.47</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7.25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30109</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职业年金缴费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30110</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76.65</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37.54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39.08</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30213</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37.75</w:t>
            </w:r>
          </w:p>
        </w:tc>
      </w:tr>
      <w:tr>
        <w:tblPrEx>
          <w:tblLayout w:type="fixed"/>
          <w:tblCellMar>
            <w:top w:w="0" w:type="dxa"/>
            <w:left w:w="108" w:type="dxa"/>
            <w:bottom w:w="0" w:type="dxa"/>
            <w:right w:w="108" w:type="dxa"/>
          </w:tblCellMar>
        </w:tblPrEx>
        <w:trPr>
          <w:trHeight w:val="297"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12.15</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30215</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147.12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30216</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3035" w:type="dxa"/>
            <w:tcBorders>
              <w:top w:val="nil"/>
              <w:left w:val="nil"/>
              <w:bottom w:val="single" w:color="auto" w:sz="4" w:space="0"/>
              <w:right w:val="single" w:color="auto" w:sz="4" w:space="0"/>
            </w:tcBorders>
            <w:vAlign w:val="center"/>
          </w:tcPr>
          <w:p>
            <w:pPr>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医疗费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30217</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0.83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其他工资福利支出</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93.02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30218</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15.36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303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对个人家庭的补助</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166.05</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30226</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劳务费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124.80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30302</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退休费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50.83</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30227</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委托业务费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14.30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303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13.72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30228</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工会经费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25.15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30305</w:t>
            </w:r>
          </w:p>
        </w:tc>
        <w:tc>
          <w:tcPr>
            <w:tcW w:w="3035" w:type="dxa"/>
            <w:tcBorders>
              <w:top w:val="nil"/>
              <w:left w:val="nil"/>
              <w:bottom w:val="single" w:color="auto" w:sz="4" w:space="0"/>
              <w:right w:val="single" w:color="auto" w:sz="4" w:space="0"/>
            </w:tcBorders>
            <w:vAlign w:val="center"/>
          </w:tcPr>
          <w:p>
            <w:pPr>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63.94</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30229</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福利费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30309</w:t>
            </w:r>
          </w:p>
        </w:tc>
        <w:tc>
          <w:tcPr>
            <w:tcW w:w="3035" w:type="dxa"/>
            <w:tcBorders>
              <w:top w:val="nil"/>
              <w:left w:val="nil"/>
              <w:bottom w:val="single" w:color="auto" w:sz="4" w:space="0"/>
              <w:right w:val="single" w:color="auto" w:sz="4" w:space="0"/>
            </w:tcBorders>
            <w:vAlign w:val="center"/>
          </w:tcPr>
          <w:p>
            <w:pPr>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3.80</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30231</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公务用车运行维护费</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30399</w:t>
            </w:r>
          </w:p>
        </w:tc>
        <w:tc>
          <w:tcPr>
            <w:tcW w:w="3035" w:type="dxa"/>
            <w:tcBorders>
              <w:top w:val="nil"/>
              <w:left w:val="nil"/>
              <w:bottom w:val="single" w:color="auto" w:sz="4" w:space="0"/>
              <w:right w:val="single" w:color="auto" w:sz="4" w:space="0"/>
            </w:tcBorders>
            <w:vAlign w:val="center"/>
          </w:tcPr>
          <w:p>
            <w:pPr>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其他个人和家庭的补助支出</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33.76</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30239</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其他交通费用</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0.14</w:t>
            </w:r>
          </w:p>
        </w:tc>
      </w:tr>
      <w:tr>
        <w:tblPrEx>
          <w:tblLayout w:type="fixed"/>
          <w:tblCellMar>
            <w:top w:w="0" w:type="dxa"/>
            <w:left w:w="108" w:type="dxa"/>
            <w:bottom w:w="0" w:type="dxa"/>
            <w:right w:w="108" w:type="dxa"/>
          </w:tblCellMar>
        </w:tblPrEx>
        <w:trPr>
          <w:trHeight w:val="252"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p>
        </w:tc>
        <w:tc>
          <w:tcPr>
            <w:tcW w:w="3035" w:type="dxa"/>
            <w:tcBorders>
              <w:top w:val="nil"/>
              <w:left w:val="nil"/>
              <w:bottom w:val="single" w:color="auto" w:sz="4" w:space="0"/>
              <w:right w:val="single" w:color="auto" w:sz="4" w:space="0"/>
            </w:tcBorders>
            <w:vAlign w:val="center"/>
          </w:tcPr>
          <w:p>
            <w:pPr>
              <w:ind w:firstLine="220" w:firstLineChars="100"/>
              <w:jc w:val="center"/>
              <w:rPr>
                <w:rFonts w:ascii="宋体" w:hAnsi="宋体" w:cs="Arial"/>
                <w:color w:val="000000"/>
                <w:kern w:val="0"/>
                <w:sz w:val="22"/>
                <w:szCs w:val="22"/>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30240</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税金及附加费用</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0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3029999</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其他商品和服务支出</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31.94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0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both"/>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820" w:type="dxa"/>
            <w:tcBorders>
              <w:top w:val="nil"/>
              <w:left w:val="nil"/>
              <w:bottom w:val="single" w:color="auto" w:sz="4" w:space="0"/>
              <w:right w:val="single" w:color="auto" w:sz="4" w:space="0"/>
            </w:tcBorders>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rPr>
              <w:t>资本性支出</w:t>
            </w:r>
          </w:p>
        </w:tc>
        <w:tc>
          <w:tcPr>
            <w:tcW w:w="1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0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31002</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办公设备购置</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0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31003</w:t>
            </w:r>
          </w:p>
        </w:tc>
        <w:tc>
          <w:tcPr>
            <w:tcW w:w="1820" w:type="dxa"/>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专用设备购置</w:t>
            </w:r>
          </w:p>
        </w:tc>
        <w:tc>
          <w:tcPr>
            <w:tcW w:w="1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0.07</w:t>
            </w:r>
          </w:p>
        </w:tc>
      </w:tr>
      <w:tr>
        <w:tblPrEx>
          <w:tblLayout w:type="fixed"/>
          <w:tblCellMar>
            <w:top w:w="0" w:type="dxa"/>
            <w:left w:w="108" w:type="dxa"/>
            <w:bottom w:w="0" w:type="dxa"/>
            <w:right w:w="108" w:type="dxa"/>
          </w:tblCellMar>
        </w:tblPrEx>
        <w:trPr>
          <w:trHeight w:val="264" w:hRule="atLeast"/>
        </w:trPr>
        <w:tc>
          <w:tcPr>
            <w:tcW w:w="395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1972.57</w:t>
            </w:r>
          </w:p>
        </w:tc>
        <w:tc>
          <w:tcPr>
            <w:tcW w:w="266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499.43</w:t>
            </w:r>
          </w:p>
        </w:tc>
      </w:tr>
    </w:tbl>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6"/>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60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82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2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2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21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80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56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80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39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20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18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45.56</w:t>
            </w:r>
          </w:p>
        </w:tc>
        <w:tc>
          <w:tcPr>
            <w:tcW w:w="1603"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828"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rPr>
            </w:pPr>
          </w:p>
        </w:tc>
        <w:tc>
          <w:tcPr>
            <w:tcW w:w="12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2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24.13</w:t>
            </w:r>
          </w:p>
        </w:tc>
        <w:tc>
          <w:tcPr>
            <w:tcW w:w="121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21.43</w:t>
            </w:r>
          </w:p>
        </w:tc>
        <w:tc>
          <w:tcPr>
            <w:tcW w:w="80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12.11</w:t>
            </w:r>
          </w:p>
        </w:tc>
        <w:tc>
          <w:tcPr>
            <w:tcW w:w="1560"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806"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6.88</w:t>
            </w:r>
          </w:p>
        </w:tc>
        <w:tc>
          <w:tcPr>
            <w:tcW w:w="1398" w:type="dxa"/>
            <w:tcBorders>
              <w:top w:val="nil"/>
              <w:left w:val="nil"/>
              <w:bottom w:val="single" w:color="auto" w:sz="4" w:space="0"/>
              <w:right w:val="single" w:color="auto" w:sz="4" w:space="0"/>
            </w:tcBorders>
            <w:vAlign w:val="center"/>
          </w:tcPr>
          <w:p>
            <w:pPr>
              <w:widowControl/>
              <w:ind w:firstLine="440" w:firstLineChars="2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20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1.65</w:t>
            </w:r>
          </w:p>
        </w:tc>
        <w:tc>
          <w:tcPr>
            <w:tcW w:w="1183" w:type="dxa"/>
            <w:tcBorders>
              <w:top w:val="nil"/>
              <w:left w:val="nil"/>
              <w:bottom w:val="single" w:color="auto" w:sz="4" w:space="0"/>
              <w:right w:val="single" w:color="auto" w:sz="4" w:space="0"/>
            </w:tcBorders>
            <w:vAlign w:val="center"/>
          </w:tcPr>
          <w:p>
            <w:pPr>
              <w:widowControl/>
              <w:ind w:firstLine="220" w:firstLineChars="100"/>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5.23</w:t>
            </w:r>
          </w:p>
        </w:tc>
      </w:tr>
    </w:tbl>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2018年度预算数为“三公”经费年初预算数，决算数是包括当年一般公共预算财政拨款和以前年度结转资金安排的实际支出。</w:t>
      </w:r>
    </w:p>
    <w:p>
      <w:pPr>
        <w:rPr>
          <w:rFonts w:hint="eastAsia"/>
        </w:rPr>
      </w:pPr>
    </w:p>
    <w:p>
      <w:pPr>
        <w:rPr>
          <w:rFonts w:hint="eastAsia"/>
        </w:rPr>
      </w:pPr>
    </w:p>
    <w:tbl>
      <w:tblPr>
        <w:tblStyle w:val="6"/>
        <w:tblW w:w="12480" w:type="dxa"/>
        <w:jc w:val="center"/>
        <w:tblInd w:w="93" w:type="dxa"/>
        <w:tblLayout w:type="fixed"/>
        <w:tblCellMar>
          <w:top w:w="0" w:type="dxa"/>
          <w:left w:w="108" w:type="dxa"/>
          <w:bottom w:w="0" w:type="dxa"/>
          <w:right w:w="108" w:type="dxa"/>
        </w:tblCellMar>
      </w:tblPr>
      <w:tblGrid>
        <w:gridCol w:w="1040"/>
        <w:gridCol w:w="1385"/>
        <w:gridCol w:w="890"/>
        <w:gridCol w:w="915"/>
        <w:gridCol w:w="1040"/>
        <w:gridCol w:w="1195"/>
        <w:gridCol w:w="990"/>
        <w:gridCol w:w="935"/>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890" w:type="dxa"/>
            <w:tcBorders>
              <w:top w:val="nil"/>
              <w:left w:val="nil"/>
              <w:bottom w:val="nil"/>
              <w:right w:val="nil"/>
            </w:tcBorders>
            <w:vAlign w:val="bottom"/>
          </w:tcPr>
          <w:p>
            <w:pPr>
              <w:widowControl/>
              <w:jc w:val="left"/>
              <w:rPr>
                <w:rFonts w:ascii="仿宋_GB2312" w:hAnsi="宋体" w:cs="宋体"/>
                <w:kern w:val="0"/>
                <w:sz w:val="24"/>
              </w:rPr>
            </w:pPr>
          </w:p>
        </w:tc>
        <w:tc>
          <w:tcPr>
            <w:tcW w:w="91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195" w:type="dxa"/>
            <w:tcBorders>
              <w:top w:val="nil"/>
              <w:left w:val="nil"/>
              <w:bottom w:val="nil"/>
              <w:right w:val="nil"/>
            </w:tcBorders>
            <w:vAlign w:val="bottom"/>
          </w:tcPr>
          <w:p>
            <w:pPr>
              <w:widowControl/>
              <w:jc w:val="left"/>
              <w:rPr>
                <w:rFonts w:ascii="仿宋_GB2312" w:hAnsi="宋体" w:cs="宋体"/>
                <w:kern w:val="0"/>
                <w:sz w:val="24"/>
              </w:rPr>
            </w:pPr>
          </w:p>
        </w:tc>
        <w:tc>
          <w:tcPr>
            <w:tcW w:w="990" w:type="dxa"/>
            <w:tcBorders>
              <w:top w:val="nil"/>
              <w:left w:val="nil"/>
              <w:bottom w:val="nil"/>
              <w:right w:val="nil"/>
            </w:tcBorders>
            <w:vAlign w:val="bottom"/>
          </w:tcPr>
          <w:p>
            <w:pPr>
              <w:widowControl/>
              <w:jc w:val="left"/>
              <w:rPr>
                <w:rFonts w:ascii="仿宋_GB2312" w:hAnsi="宋体" w:cs="宋体"/>
                <w:kern w:val="0"/>
                <w:sz w:val="24"/>
              </w:rPr>
            </w:pPr>
          </w:p>
        </w:tc>
        <w:tc>
          <w:tcPr>
            <w:tcW w:w="93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195"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296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936"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90"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15"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195"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99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229</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其他支出　</w:t>
            </w:r>
          </w:p>
        </w:tc>
        <w:tc>
          <w:tcPr>
            <w:tcW w:w="8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9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1653"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22960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彩票公益金及对应专项债务收入安排的支出　</w:t>
            </w:r>
          </w:p>
        </w:tc>
        <w:tc>
          <w:tcPr>
            <w:tcW w:w="8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9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1176"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2296003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用于体育事业的彩票公益金支出　</w:t>
            </w:r>
          </w:p>
        </w:tc>
        <w:tc>
          <w:tcPr>
            <w:tcW w:w="8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9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200.00</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1505.95</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1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9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3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94022"/>
    <w:rsid w:val="3E2F0231"/>
    <w:rsid w:val="7D19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2019-07-23T03:39:00Z</dcterms:created>
  <dc:creator>PC</dc:creator>
  <cp:lastModifiedBy>PC</cp:lastModifiedBy>
  <cp:lastPrinted>2019-07-28T07:35:40Z</cp:lastPrinted>
  <dcterms:modified xsi:type="dcterms:W3CDTF">2019-07-28T07:37:40Z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