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465F1" w14:textId="77777777" w:rsidR="008A5C83" w:rsidRDefault="00A7141B">
      <w:pPr>
        <w:spacing w:beforeLines="200" w:before="624" w:afterLines="100" w:after="312" w:line="800" w:lineRule="exact"/>
        <w:ind w:firstLine="880"/>
        <w:rPr>
          <w:rFonts w:ascii="黑体" w:eastAsia="黑体" w:hAnsi="Times New Roman"/>
          <w:bCs/>
          <w:sz w:val="36"/>
          <w:szCs w:val="36"/>
        </w:rPr>
      </w:pPr>
      <w:r>
        <w:rPr>
          <w:rFonts w:ascii="方正小标宋简体" w:eastAsia="方正小标宋简体" w:hAnsi="方正小标宋简体" w:cs="方正小标宋简体" w:hint="eastAsia"/>
          <w:sz w:val="44"/>
          <w:szCs w:val="44"/>
        </w:rPr>
        <w:t>柳州市体育事业发展“十四五”规划</w:t>
      </w:r>
      <w:r>
        <w:rPr>
          <w:rFonts w:ascii="方正小标宋简体" w:eastAsia="方正小标宋简体" w:hAnsi="Times New Roman" w:hint="eastAsia"/>
          <w:b/>
          <w:sz w:val="44"/>
          <w:szCs w:val="44"/>
        </w:rPr>
        <w:br/>
      </w:r>
    </w:p>
    <w:p w14:paraId="140780E8" w14:textId="77777777" w:rsidR="008A5C83" w:rsidRDefault="00A7141B">
      <w:pPr>
        <w:spacing w:line="800" w:lineRule="exact"/>
        <w:ind w:firstLine="720"/>
        <w:rPr>
          <w:rFonts w:ascii="黑体" w:eastAsia="黑体" w:hAnsi="Times New Roman"/>
          <w:bCs/>
          <w:sz w:val="40"/>
          <w:szCs w:val="40"/>
        </w:rPr>
      </w:pPr>
      <w:r>
        <w:rPr>
          <w:rFonts w:ascii="黑体" w:eastAsia="黑体" w:hAnsi="Times New Roman" w:hint="eastAsia"/>
          <w:bCs/>
          <w:sz w:val="36"/>
          <w:szCs w:val="36"/>
        </w:rPr>
        <w:t xml:space="preserve">           </w:t>
      </w:r>
    </w:p>
    <w:p w14:paraId="7EE8FA27" w14:textId="77777777" w:rsidR="008A5C83" w:rsidRDefault="008A5C83">
      <w:pPr>
        <w:spacing w:beforeLines="200" w:before="624" w:afterLines="100" w:after="312" w:line="800" w:lineRule="exact"/>
        <w:ind w:firstLine="880"/>
        <w:jc w:val="center"/>
        <w:rPr>
          <w:rFonts w:ascii="黑体" w:eastAsia="黑体" w:hAnsi="Times New Roman"/>
          <w:bCs/>
          <w:sz w:val="44"/>
          <w:szCs w:val="44"/>
        </w:rPr>
      </w:pPr>
    </w:p>
    <w:p w14:paraId="4AD19B02" w14:textId="77777777" w:rsidR="008A5C83" w:rsidRDefault="008A5C83">
      <w:pPr>
        <w:ind w:firstLine="560"/>
      </w:pPr>
    </w:p>
    <w:p w14:paraId="66348AD8" w14:textId="77777777" w:rsidR="008A5C83" w:rsidRDefault="008A5C83">
      <w:pPr>
        <w:ind w:firstLine="560"/>
      </w:pPr>
    </w:p>
    <w:p w14:paraId="08BF689F" w14:textId="77777777" w:rsidR="008A5C83" w:rsidRDefault="008A5C83">
      <w:pPr>
        <w:ind w:firstLine="560"/>
      </w:pPr>
    </w:p>
    <w:p w14:paraId="321D61AC" w14:textId="77777777" w:rsidR="008A5C83" w:rsidRDefault="008A5C83">
      <w:pPr>
        <w:ind w:firstLine="560"/>
      </w:pPr>
    </w:p>
    <w:p w14:paraId="2C38C905" w14:textId="77777777" w:rsidR="008A5C83" w:rsidRDefault="008A5C83">
      <w:pPr>
        <w:ind w:firstLine="560"/>
      </w:pPr>
    </w:p>
    <w:p w14:paraId="19848DE0" w14:textId="77777777" w:rsidR="008A5C83" w:rsidRDefault="008A5C83">
      <w:pPr>
        <w:ind w:firstLine="560"/>
      </w:pPr>
    </w:p>
    <w:p w14:paraId="0D4381AD" w14:textId="77777777" w:rsidR="008A5C83" w:rsidRDefault="008A5C83">
      <w:pPr>
        <w:ind w:firstLine="560"/>
      </w:pPr>
    </w:p>
    <w:p w14:paraId="71D27F45" w14:textId="77777777" w:rsidR="008A5C83" w:rsidRDefault="008A5C83">
      <w:pPr>
        <w:ind w:firstLine="560"/>
      </w:pPr>
    </w:p>
    <w:p w14:paraId="33696776" w14:textId="77777777" w:rsidR="008A5C83" w:rsidRDefault="008A5C83">
      <w:pPr>
        <w:ind w:firstLine="560"/>
      </w:pPr>
    </w:p>
    <w:p w14:paraId="6DB2FB32" w14:textId="77777777" w:rsidR="008A5C83" w:rsidRDefault="008A5C83">
      <w:pPr>
        <w:ind w:firstLine="560"/>
      </w:pPr>
    </w:p>
    <w:p w14:paraId="065BAB7F" w14:textId="77777777" w:rsidR="008A5C83" w:rsidRDefault="008A5C83">
      <w:pPr>
        <w:ind w:firstLine="560"/>
      </w:pPr>
    </w:p>
    <w:p w14:paraId="05CEE435" w14:textId="77777777" w:rsidR="008A5C83" w:rsidRDefault="008A5C83">
      <w:pPr>
        <w:ind w:firstLine="560"/>
      </w:pPr>
    </w:p>
    <w:p w14:paraId="6D157A27" w14:textId="77777777" w:rsidR="008A5C83" w:rsidRDefault="008A5C83">
      <w:pPr>
        <w:ind w:firstLine="560"/>
      </w:pPr>
    </w:p>
    <w:p w14:paraId="6BFC0D25" w14:textId="77777777" w:rsidR="008A5C83" w:rsidRDefault="008A5C83">
      <w:pPr>
        <w:ind w:firstLine="560"/>
      </w:pPr>
    </w:p>
    <w:p w14:paraId="3F9142B2" w14:textId="77777777" w:rsidR="008A5C83" w:rsidRDefault="00A7141B">
      <w:pPr>
        <w:ind w:firstLine="640"/>
        <w:jc w:val="center"/>
        <w:rPr>
          <w:rFonts w:ascii="黑体" w:eastAsia="黑体" w:hAnsi="黑体" w:hint="eastAsia"/>
          <w:sz w:val="32"/>
          <w:szCs w:val="32"/>
        </w:rPr>
      </w:pPr>
      <w:r>
        <w:rPr>
          <w:rFonts w:ascii="黑体" w:eastAsia="黑体" w:hAnsi="黑体" w:hint="eastAsia"/>
          <w:sz w:val="32"/>
          <w:szCs w:val="32"/>
        </w:rPr>
        <w:t>目</w:t>
      </w:r>
      <w:r>
        <w:rPr>
          <w:rFonts w:ascii="黑体" w:eastAsia="黑体" w:hAnsi="黑体" w:hint="eastAsia"/>
          <w:sz w:val="32"/>
          <w:szCs w:val="32"/>
        </w:rPr>
        <w:t xml:space="preserve">   </w:t>
      </w:r>
      <w:r>
        <w:rPr>
          <w:rFonts w:ascii="黑体" w:eastAsia="黑体" w:hAnsi="黑体" w:hint="eastAsia"/>
          <w:sz w:val="32"/>
          <w:szCs w:val="32"/>
        </w:rPr>
        <w:t>录</w:t>
      </w:r>
    </w:p>
    <w:p w14:paraId="42B8830D" w14:textId="77777777" w:rsidR="008A5C83" w:rsidRDefault="00A7141B">
      <w:pPr>
        <w:pStyle w:val="TOC1"/>
        <w:rPr>
          <w:rFonts w:asciiTheme="minorHAnsi" w:eastAsiaTheme="minorEastAsia" w:hAnsiTheme="minorHAnsi"/>
          <w:b w:val="0"/>
          <w:sz w:val="21"/>
        </w:rPr>
      </w:pPr>
      <w:r>
        <w:fldChar w:fldCharType="begin"/>
      </w:r>
      <w:r>
        <w:instrText xml:space="preserve"> TOC \o "1-3" \h \z \u </w:instrText>
      </w:r>
      <w:r>
        <w:fldChar w:fldCharType="separate"/>
      </w:r>
      <w:hyperlink w:anchor="_Toc63006973" w:history="1">
        <w:r>
          <w:rPr>
            <w:rStyle w:val="af"/>
            <w:color w:val="auto"/>
          </w:rPr>
          <w:t>一、</w:t>
        </w:r>
        <w:r>
          <w:rPr>
            <w:rStyle w:val="af"/>
            <w:color w:val="auto"/>
          </w:rPr>
          <w:t>“</w:t>
        </w:r>
        <w:r>
          <w:rPr>
            <w:rStyle w:val="af"/>
            <w:color w:val="auto"/>
          </w:rPr>
          <w:t>十三五</w:t>
        </w:r>
        <w:r>
          <w:rPr>
            <w:rStyle w:val="af"/>
            <w:color w:val="auto"/>
          </w:rPr>
          <w:t>”</w:t>
        </w:r>
        <w:r>
          <w:rPr>
            <w:rStyle w:val="af"/>
            <w:color w:val="auto"/>
          </w:rPr>
          <w:t>期间柳州市体育发展状况回顾</w:t>
        </w:r>
        <w:r>
          <w:tab/>
        </w:r>
        <w:r>
          <w:fldChar w:fldCharType="begin"/>
        </w:r>
        <w:r>
          <w:instrText xml:space="preserve"> PAGEREF _Toc63006973 \h </w:instrText>
        </w:r>
        <w:r>
          <w:fldChar w:fldCharType="separate"/>
        </w:r>
        <w:r>
          <w:t>1</w:t>
        </w:r>
        <w:r>
          <w:fldChar w:fldCharType="end"/>
        </w:r>
      </w:hyperlink>
    </w:p>
    <w:p w14:paraId="3B886223" w14:textId="77777777" w:rsidR="008A5C83" w:rsidRDefault="00A7141B">
      <w:pPr>
        <w:pStyle w:val="TOC2"/>
        <w:rPr>
          <w:rFonts w:asciiTheme="minorHAnsi" w:eastAsiaTheme="minorEastAsia" w:hAnsiTheme="minorHAnsi"/>
          <w:color w:val="auto"/>
          <w:sz w:val="21"/>
        </w:rPr>
      </w:pPr>
      <w:hyperlink w:anchor="_Toc63006974" w:history="1">
        <w:r>
          <w:rPr>
            <w:rStyle w:val="af"/>
            <w:color w:val="auto"/>
          </w:rPr>
          <w:t>（一）</w:t>
        </w:r>
        <w:r>
          <w:rPr>
            <w:rStyle w:val="af"/>
            <w:color w:val="auto"/>
          </w:rPr>
          <w:t>“</w:t>
        </w:r>
        <w:r>
          <w:rPr>
            <w:rStyle w:val="af"/>
            <w:color w:val="auto"/>
          </w:rPr>
          <w:t>十三五</w:t>
        </w:r>
        <w:r>
          <w:rPr>
            <w:rStyle w:val="af"/>
            <w:color w:val="auto"/>
          </w:rPr>
          <w:t>”</w:t>
        </w:r>
        <w:r>
          <w:rPr>
            <w:rStyle w:val="af"/>
            <w:color w:val="auto"/>
          </w:rPr>
          <w:t>期间体育发展成就</w:t>
        </w:r>
        <w:r>
          <w:rPr>
            <w:color w:val="auto"/>
          </w:rPr>
          <w:tab/>
        </w:r>
        <w:r>
          <w:rPr>
            <w:color w:val="auto"/>
          </w:rPr>
          <w:fldChar w:fldCharType="begin"/>
        </w:r>
        <w:r>
          <w:rPr>
            <w:color w:val="auto"/>
          </w:rPr>
          <w:instrText xml:space="preserve"> PAGEREF _Toc63006974 \h </w:instrText>
        </w:r>
        <w:r>
          <w:rPr>
            <w:color w:val="auto"/>
          </w:rPr>
        </w:r>
        <w:r>
          <w:rPr>
            <w:color w:val="auto"/>
          </w:rPr>
          <w:fldChar w:fldCharType="separate"/>
        </w:r>
        <w:r>
          <w:rPr>
            <w:color w:val="auto"/>
          </w:rPr>
          <w:t>1</w:t>
        </w:r>
        <w:r>
          <w:rPr>
            <w:color w:val="auto"/>
          </w:rPr>
          <w:fldChar w:fldCharType="end"/>
        </w:r>
      </w:hyperlink>
    </w:p>
    <w:p w14:paraId="7A29BF70" w14:textId="77777777" w:rsidR="008A5C83" w:rsidRDefault="00A7141B">
      <w:pPr>
        <w:pStyle w:val="TOC2"/>
        <w:rPr>
          <w:rFonts w:asciiTheme="minorHAnsi" w:eastAsiaTheme="minorEastAsia" w:hAnsiTheme="minorHAnsi"/>
          <w:color w:val="auto"/>
          <w:sz w:val="21"/>
        </w:rPr>
      </w:pPr>
      <w:hyperlink w:anchor="_Toc63006982" w:history="1">
        <w:r>
          <w:rPr>
            <w:rStyle w:val="af"/>
            <w:color w:val="auto"/>
          </w:rPr>
          <w:t>（二）</w:t>
        </w:r>
        <w:r>
          <w:rPr>
            <w:rStyle w:val="af"/>
            <w:color w:val="auto"/>
          </w:rPr>
          <w:t xml:space="preserve"> “</w:t>
        </w:r>
        <w:r>
          <w:rPr>
            <w:rStyle w:val="af"/>
            <w:color w:val="auto"/>
          </w:rPr>
          <w:t>十三五</w:t>
        </w:r>
        <w:r>
          <w:rPr>
            <w:rStyle w:val="af"/>
            <w:color w:val="auto"/>
          </w:rPr>
          <w:t>”</w:t>
        </w:r>
        <w:r>
          <w:rPr>
            <w:rStyle w:val="af"/>
            <w:color w:val="auto"/>
          </w:rPr>
          <w:t>期间体育发展面临的主要矛盾</w:t>
        </w:r>
        <w:r>
          <w:rPr>
            <w:color w:val="auto"/>
          </w:rPr>
          <w:tab/>
        </w:r>
        <w:r>
          <w:rPr>
            <w:rFonts w:hint="eastAsia"/>
            <w:color w:val="auto"/>
          </w:rPr>
          <w:t>10</w:t>
        </w:r>
      </w:hyperlink>
    </w:p>
    <w:p w14:paraId="2EA22D04" w14:textId="77777777" w:rsidR="008A5C83" w:rsidRDefault="00A7141B">
      <w:pPr>
        <w:pStyle w:val="TOC1"/>
        <w:rPr>
          <w:rFonts w:asciiTheme="minorHAnsi" w:eastAsiaTheme="minorEastAsia" w:hAnsiTheme="minorHAnsi"/>
          <w:b w:val="0"/>
          <w:sz w:val="21"/>
        </w:rPr>
      </w:pPr>
      <w:hyperlink w:anchor="_Toc63006983" w:history="1">
        <w:r>
          <w:rPr>
            <w:rStyle w:val="af"/>
            <w:color w:val="auto"/>
          </w:rPr>
          <w:t>二、</w:t>
        </w:r>
        <w:r>
          <w:rPr>
            <w:rStyle w:val="af"/>
            <w:color w:val="auto"/>
          </w:rPr>
          <w:t>“</w:t>
        </w:r>
        <w:r>
          <w:rPr>
            <w:rStyle w:val="af"/>
            <w:color w:val="auto"/>
          </w:rPr>
          <w:t>十四五</w:t>
        </w:r>
        <w:r>
          <w:rPr>
            <w:rStyle w:val="af"/>
            <w:color w:val="auto"/>
          </w:rPr>
          <w:t>”</w:t>
        </w:r>
        <w:r>
          <w:rPr>
            <w:rStyle w:val="af"/>
            <w:color w:val="auto"/>
          </w:rPr>
          <w:t>期间柳州体育事业发展的机遇与挑战</w:t>
        </w:r>
        <w:r>
          <w:tab/>
        </w:r>
        <w:r>
          <w:rPr>
            <w:rFonts w:hint="eastAsia"/>
          </w:rPr>
          <w:t>11</w:t>
        </w:r>
      </w:hyperlink>
    </w:p>
    <w:p w14:paraId="1EA5B9B6" w14:textId="77777777" w:rsidR="008A5C83" w:rsidRDefault="00A7141B">
      <w:pPr>
        <w:pStyle w:val="TOC2"/>
        <w:rPr>
          <w:rFonts w:asciiTheme="minorHAnsi" w:eastAsiaTheme="minorEastAsia" w:hAnsiTheme="minorHAnsi"/>
          <w:color w:val="auto"/>
          <w:sz w:val="21"/>
        </w:rPr>
      </w:pPr>
      <w:hyperlink w:anchor="_Toc63006984" w:history="1">
        <w:r>
          <w:rPr>
            <w:rStyle w:val="af"/>
            <w:color w:val="auto"/>
          </w:rPr>
          <w:t>（一）发展优势</w:t>
        </w:r>
        <w:r>
          <w:rPr>
            <w:color w:val="auto"/>
          </w:rPr>
          <w:tab/>
        </w:r>
      </w:hyperlink>
      <w:r>
        <w:rPr>
          <w:rFonts w:hint="eastAsia"/>
          <w:color w:val="auto"/>
        </w:rPr>
        <w:t>11</w:t>
      </w:r>
    </w:p>
    <w:p w14:paraId="56D24AFD" w14:textId="77777777" w:rsidR="008A5C83" w:rsidRDefault="00A7141B">
      <w:pPr>
        <w:pStyle w:val="TOC2"/>
        <w:rPr>
          <w:rFonts w:asciiTheme="minorHAnsi" w:eastAsiaTheme="minorEastAsia" w:hAnsiTheme="minorHAnsi"/>
          <w:color w:val="auto"/>
          <w:sz w:val="21"/>
        </w:rPr>
      </w:pPr>
      <w:hyperlink w:anchor="_Toc63006990" w:history="1">
        <w:r>
          <w:rPr>
            <w:rStyle w:val="af"/>
            <w:color w:val="auto"/>
          </w:rPr>
          <w:t>（二）面临的挑战</w:t>
        </w:r>
        <w:r>
          <w:rPr>
            <w:color w:val="auto"/>
          </w:rPr>
          <w:tab/>
        </w:r>
        <w:r>
          <w:rPr>
            <w:color w:val="auto"/>
          </w:rPr>
          <w:fldChar w:fldCharType="begin"/>
        </w:r>
        <w:r>
          <w:rPr>
            <w:color w:val="auto"/>
          </w:rPr>
          <w:instrText xml:space="preserve"> PAGEREF _Toc63006990 \h </w:instrText>
        </w:r>
        <w:r>
          <w:rPr>
            <w:color w:val="auto"/>
          </w:rPr>
        </w:r>
        <w:r>
          <w:rPr>
            <w:color w:val="auto"/>
          </w:rPr>
          <w:fldChar w:fldCharType="separate"/>
        </w:r>
        <w:r>
          <w:rPr>
            <w:color w:val="auto"/>
          </w:rPr>
          <w:t>14</w:t>
        </w:r>
        <w:r>
          <w:rPr>
            <w:color w:val="auto"/>
          </w:rPr>
          <w:fldChar w:fldCharType="end"/>
        </w:r>
      </w:hyperlink>
    </w:p>
    <w:p w14:paraId="5C93BDE0" w14:textId="77777777" w:rsidR="008A5C83" w:rsidRDefault="00A7141B">
      <w:pPr>
        <w:pStyle w:val="TOC1"/>
        <w:rPr>
          <w:rFonts w:asciiTheme="minorHAnsi" w:eastAsiaTheme="minorEastAsia" w:hAnsiTheme="minorHAnsi"/>
          <w:b w:val="0"/>
          <w:sz w:val="21"/>
        </w:rPr>
      </w:pPr>
      <w:hyperlink w:anchor="_Toc63006991" w:history="1">
        <w:r>
          <w:rPr>
            <w:rStyle w:val="af"/>
            <w:color w:val="auto"/>
          </w:rPr>
          <w:t>三、</w:t>
        </w:r>
        <w:r>
          <w:rPr>
            <w:rStyle w:val="af"/>
            <w:color w:val="auto"/>
          </w:rPr>
          <w:t>“</w:t>
        </w:r>
        <w:r>
          <w:rPr>
            <w:rStyle w:val="af"/>
            <w:color w:val="auto"/>
          </w:rPr>
          <w:t>十四五</w:t>
        </w:r>
        <w:r>
          <w:rPr>
            <w:rStyle w:val="af"/>
            <w:color w:val="auto"/>
          </w:rPr>
          <w:t>”</w:t>
        </w:r>
        <w:r>
          <w:rPr>
            <w:rStyle w:val="af"/>
            <w:color w:val="auto"/>
          </w:rPr>
          <w:t>期间体育发展的总体要求</w:t>
        </w:r>
        <w:r>
          <w:tab/>
        </w:r>
        <w:r>
          <w:fldChar w:fldCharType="begin"/>
        </w:r>
        <w:r>
          <w:instrText xml:space="preserve"> PAGEREF _Toc63006991 \h </w:instrText>
        </w:r>
        <w:r>
          <w:fldChar w:fldCharType="separate"/>
        </w:r>
        <w:r>
          <w:t>15</w:t>
        </w:r>
        <w:r>
          <w:fldChar w:fldCharType="end"/>
        </w:r>
      </w:hyperlink>
    </w:p>
    <w:p w14:paraId="2AE81EC8" w14:textId="77777777" w:rsidR="008A5C83" w:rsidRDefault="00A7141B">
      <w:pPr>
        <w:pStyle w:val="TOC2"/>
        <w:rPr>
          <w:rFonts w:asciiTheme="minorHAnsi" w:eastAsiaTheme="minorEastAsia" w:hAnsiTheme="minorHAnsi"/>
          <w:color w:val="auto"/>
          <w:sz w:val="21"/>
        </w:rPr>
      </w:pPr>
      <w:hyperlink w:anchor="_Toc63006992" w:history="1">
        <w:r>
          <w:rPr>
            <w:rStyle w:val="af"/>
            <w:color w:val="auto"/>
          </w:rPr>
          <w:t>（一）指导思想</w:t>
        </w:r>
        <w:r>
          <w:rPr>
            <w:color w:val="auto"/>
          </w:rPr>
          <w:tab/>
        </w:r>
        <w:r>
          <w:rPr>
            <w:color w:val="auto"/>
          </w:rPr>
          <w:fldChar w:fldCharType="begin"/>
        </w:r>
        <w:r>
          <w:rPr>
            <w:color w:val="auto"/>
          </w:rPr>
          <w:instrText xml:space="preserve"> PAGEREF _Toc63006992 \h </w:instrText>
        </w:r>
        <w:r>
          <w:rPr>
            <w:color w:val="auto"/>
          </w:rPr>
        </w:r>
        <w:r>
          <w:rPr>
            <w:color w:val="auto"/>
          </w:rPr>
          <w:fldChar w:fldCharType="separate"/>
        </w:r>
        <w:r>
          <w:rPr>
            <w:color w:val="auto"/>
          </w:rPr>
          <w:t>15</w:t>
        </w:r>
        <w:r>
          <w:rPr>
            <w:color w:val="auto"/>
          </w:rPr>
          <w:fldChar w:fldCharType="end"/>
        </w:r>
      </w:hyperlink>
    </w:p>
    <w:p w14:paraId="25F1A16B" w14:textId="77777777" w:rsidR="008A5C83" w:rsidRDefault="00A7141B">
      <w:pPr>
        <w:pStyle w:val="TOC2"/>
        <w:rPr>
          <w:rFonts w:asciiTheme="minorHAnsi" w:eastAsiaTheme="minorEastAsia" w:hAnsiTheme="minorHAnsi"/>
          <w:color w:val="auto"/>
          <w:sz w:val="21"/>
        </w:rPr>
      </w:pPr>
      <w:hyperlink w:anchor="_Toc63006993" w:history="1">
        <w:r>
          <w:rPr>
            <w:rStyle w:val="af"/>
            <w:color w:val="auto"/>
          </w:rPr>
          <w:t>（二）基本原则</w:t>
        </w:r>
        <w:r>
          <w:rPr>
            <w:color w:val="auto"/>
          </w:rPr>
          <w:tab/>
        </w:r>
        <w:r>
          <w:rPr>
            <w:color w:val="auto"/>
          </w:rPr>
          <w:fldChar w:fldCharType="begin"/>
        </w:r>
        <w:r>
          <w:rPr>
            <w:color w:val="auto"/>
          </w:rPr>
          <w:instrText xml:space="preserve"> PAGEREF _Toc63006993 \h </w:instrText>
        </w:r>
        <w:r>
          <w:rPr>
            <w:color w:val="auto"/>
          </w:rPr>
        </w:r>
        <w:r>
          <w:rPr>
            <w:color w:val="auto"/>
          </w:rPr>
          <w:fldChar w:fldCharType="separate"/>
        </w:r>
        <w:r>
          <w:rPr>
            <w:color w:val="auto"/>
          </w:rPr>
          <w:t>16</w:t>
        </w:r>
        <w:r>
          <w:rPr>
            <w:color w:val="auto"/>
          </w:rPr>
          <w:fldChar w:fldCharType="end"/>
        </w:r>
      </w:hyperlink>
    </w:p>
    <w:p w14:paraId="41CA59A4" w14:textId="77777777" w:rsidR="008A5C83" w:rsidRDefault="00A7141B">
      <w:pPr>
        <w:pStyle w:val="TOC2"/>
        <w:rPr>
          <w:rFonts w:asciiTheme="minorHAnsi" w:eastAsiaTheme="minorEastAsia" w:hAnsiTheme="minorHAnsi"/>
          <w:color w:val="auto"/>
          <w:sz w:val="21"/>
        </w:rPr>
      </w:pPr>
      <w:hyperlink w:anchor="_Toc63006997" w:history="1">
        <w:r>
          <w:rPr>
            <w:rStyle w:val="af"/>
            <w:color w:val="auto"/>
          </w:rPr>
          <w:t>（三）发展目标</w:t>
        </w:r>
        <w:r>
          <w:rPr>
            <w:color w:val="auto"/>
          </w:rPr>
          <w:tab/>
        </w:r>
        <w:r>
          <w:rPr>
            <w:color w:val="auto"/>
          </w:rPr>
          <w:fldChar w:fldCharType="begin"/>
        </w:r>
        <w:r>
          <w:rPr>
            <w:color w:val="auto"/>
          </w:rPr>
          <w:instrText xml:space="preserve"> PAGEREF _Toc63006997 \h </w:instrText>
        </w:r>
        <w:r>
          <w:rPr>
            <w:color w:val="auto"/>
          </w:rPr>
        </w:r>
        <w:r>
          <w:rPr>
            <w:color w:val="auto"/>
          </w:rPr>
          <w:fldChar w:fldCharType="separate"/>
        </w:r>
        <w:r>
          <w:rPr>
            <w:color w:val="auto"/>
          </w:rPr>
          <w:t>18</w:t>
        </w:r>
        <w:r>
          <w:rPr>
            <w:color w:val="auto"/>
          </w:rPr>
          <w:fldChar w:fldCharType="end"/>
        </w:r>
      </w:hyperlink>
    </w:p>
    <w:p w14:paraId="0ADDC545" w14:textId="77777777" w:rsidR="008A5C83" w:rsidRDefault="00A7141B">
      <w:pPr>
        <w:pStyle w:val="TOC1"/>
        <w:rPr>
          <w:rFonts w:asciiTheme="minorHAnsi" w:eastAsiaTheme="minorEastAsia" w:hAnsiTheme="minorHAnsi"/>
          <w:b w:val="0"/>
          <w:sz w:val="21"/>
        </w:rPr>
      </w:pPr>
      <w:hyperlink w:anchor="_Toc63006998" w:history="1">
        <w:r>
          <w:rPr>
            <w:rStyle w:val="af"/>
            <w:color w:val="auto"/>
          </w:rPr>
          <w:t>四、主要任务和措施</w:t>
        </w:r>
        <w:r>
          <w:tab/>
        </w:r>
        <w:r>
          <w:rPr>
            <w:rFonts w:hint="eastAsia"/>
          </w:rPr>
          <w:t>22</w:t>
        </w:r>
      </w:hyperlink>
    </w:p>
    <w:p w14:paraId="78E58FA0" w14:textId="77777777" w:rsidR="008A5C83" w:rsidRDefault="00A7141B">
      <w:pPr>
        <w:pStyle w:val="TOC2"/>
        <w:rPr>
          <w:rFonts w:asciiTheme="minorHAnsi" w:eastAsiaTheme="minorEastAsia" w:hAnsiTheme="minorHAnsi"/>
          <w:color w:val="auto"/>
          <w:sz w:val="21"/>
        </w:rPr>
      </w:pPr>
      <w:hyperlink w:anchor="_Toc63006999" w:history="1">
        <w:r>
          <w:rPr>
            <w:rStyle w:val="af"/>
            <w:color w:val="auto"/>
          </w:rPr>
          <w:t>（一）深化体育机制改革，建立</w:t>
        </w:r>
        <w:r>
          <w:rPr>
            <w:rStyle w:val="af"/>
            <w:color w:val="auto"/>
          </w:rPr>
          <w:t>“</w:t>
        </w:r>
        <w:r>
          <w:rPr>
            <w:rStyle w:val="af"/>
            <w:color w:val="auto"/>
          </w:rPr>
          <w:t>大体育</w:t>
        </w:r>
        <w:r>
          <w:rPr>
            <w:rStyle w:val="af"/>
            <w:color w:val="auto"/>
          </w:rPr>
          <w:t>”</w:t>
        </w:r>
        <w:r>
          <w:rPr>
            <w:rStyle w:val="af"/>
            <w:color w:val="auto"/>
          </w:rPr>
          <w:t>工作格局</w:t>
        </w:r>
        <w:r>
          <w:rPr>
            <w:color w:val="auto"/>
          </w:rPr>
          <w:tab/>
        </w:r>
        <w:r>
          <w:rPr>
            <w:rFonts w:hint="eastAsia"/>
            <w:color w:val="auto"/>
          </w:rPr>
          <w:t>22</w:t>
        </w:r>
      </w:hyperlink>
    </w:p>
    <w:p w14:paraId="19C3E9BC" w14:textId="77777777" w:rsidR="008A5C83" w:rsidRDefault="00A7141B">
      <w:pPr>
        <w:pStyle w:val="TOC2"/>
        <w:rPr>
          <w:rFonts w:asciiTheme="minorHAnsi" w:eastAsiaTheme="minorEastAsia" w:hAnsiTheme="minorHAnsi"/>
          <w:color w:val="auto"/>
          <w:sz w:val="21"/>
        </w:rPr>
      </w:pPr>
      <w:hyperlink w:anchor="_Toc63007005" w:history="1">
        <w:r>
          <w:rPr>
            <w:rStyle w:val="af"/>
            <w:color w:val="auto"/>
          </w:rPr>
          <w:t>（二）实施</w:t>
        </w:r>
        <w:r>
          <w:rPr>
            <w:rStyle w:val="af"/>
            <w:rFonts w:hint="eastAsia"/>
            <w:color w:val="auto"/>
          </w:rPr>
          <w:t>全民健身</w:t>
        </w:r>
        <w:r>
          <w:rPr>
            <w:rStyle w:val="af"/>
            <w:color w:val="auto"/>
          </w:rPr>
          <w:t>行动，助力健康柳州建设</w:t>
        </w:r>
        <w:r>
          <w:rPr>
            <w:color w:val="auto"/>
          </w:rPr>
          <w:tab/>
        </w:r>
        <w:r>
          <w:rPr>
            <w:color w:val="auto"/>
          </w:rPr>
          <w:fldChar w:fldCharType="begin"/>
        </w:r>
        <w:r>
          <w:rPr>
            <w:color w:val="auto"/>
          </w:rPr>
          <w:instrText xml:space="preserve"> PAGEREF _Toc63007005 \h </w:instrText>
        </w:r>
        <w:r>
          <w:rPr>
            <w:color w:val="auto"/>
          </w:rPr>
        </w:r>
        <w:r>
          <w:rPr>
            <w:color w:val="auto"/>
          </w:rPr>
          <w:fldChar w:fldCharType="separate"/>
        </w:r>
        <w:r>
          <w:rPr>
            <w:color w:val="auto"/>
          </w:rPr>
          <w:t>25</w:t>
        </w:r>
        <w:r>
          <w:rPr>
            <w:color w:val="auto"/>
          </w:rPr>
          <w:fldChar w:fldCharType="end"/>
        </w:r>
      </w:hyperlink>
    </w:p>
    <w:p w14:paraId="0BEA8779" w14:textId="77777777" w:rsidR="008A5C83" w:rsidRDefault="00A7141B">
      <w:pPr>
        <w:pStyle w:val="TOC2"/>
        <w:rPr>
          <w:rFonts w:asciiTheme="minorHAnsi" w:eastAsiaTheme="minorEastAsia" w:hAnsiTheme="minorHAnsi"/>
          <w:color w:val="auto"/>
          <w:sz w:val="21"/>
        </w:rPr>
      </w:pPr>
      <w:hyperlink w:anchor="_Toc63007010" w:history="1">
        <w:r>
          <w:rPr>
            <w:rStyle w:val="af"/>
            <w:color w:val="auto"/>
          </w:rPr>
          <w:t>（三）竞技体育综合实力更加突出，打造体育强市</w:t>
        </w:r>
        <w:r>
          <w:rPr>
            <w:color w:val="auto"/>
          </w:rPr>
          <w:tab/>
        </w:r>
        <w:r>
          <w:rPr>
            <w:color w:val="auto"/>
          </w:rPr>
          <w:fldChar w:fldCharType="begin"/>
        </w:r>
        <w:r>
          <w:rPr>
            <w:color w:val="auto"/>
          </w:rPr>
          <w:instrText xml:space="preserve"> PAGEREF _Toc63007010 \h </w:instrText>
        </w:r>
        <w:r>
          <w:rPr>
            <w:color w:val="auto"/>
          </w:rPr>
        </w:r>
        <w:r>
          <w:rPr>
            <w:color w:val="auto"/>
          </w:rPr>
          <w:fldChar w:fldCharType="separate"/>
        </w:r>
        <w:r>
          <w:rPr>
            <w:color w:val="auto"/>
          </w:rPr>
          <w:t>29</w:t>
        </w:r>
        <w:r>
          <w:rPr>
            <w:color w:val="auto"/>
          </w:rPr>
          <w:fldChar w:fldCharType="end"/>
        </w:r>
      </w:hyperlink>
    </w:p>
    <w:p w14:paraId="3F5BECF2" w14:textId="77777777" w:rsidR="008A5C83" w:rsidRDefault="00A7141B">
      <w:pPr>
        <w:pStyle w:val="TOC2"/>
        <w:rPr>
          <w:rFonts w:asciiTheme="minorHAnsi" w:eastAsiaTheme="minorEastAsia" w:hAnsiTheme="minorHAnsi"/>
          <w:color w:val="auto"/>
          <w:sz w:val="21"/>
        </w:rPr>
      </w:pPr>
      <w:hyperlink w:anchor="_Toc63007015" w:history="1">
        <w:r>
          <w:rPr>
            <w:rStyle w:val="af"/>
            <w:color w:val="auto"/>
          </w:rPr>
          <w:t>（四）实施体育产业跨越发展行动，培育经济发展新动能</w:t>
        </w:r>
        <w:r>
          <w:rPr>
            <w:color w:val="auto"/>
          </w:rPr>
          <w:tab/>
        </w:r>
        <w:r>
          <w:rPr>
            <w:rFonts w:hint="eastAsia"/>
            <w:color w:val="auto"/>
          </w:rPr>
          <w:t>32</w:t>
        </w:r>
      </w:hyperlink>
    </w:p>
    <w:p w14:paraId="449DDE66" w14:textId="77777777" w:rsidR="008A5C83" w:rsidRDefault="00A7141B">
      <w:pPr>
        <w:pStyle w:val="TOC1"/>
        <w:rPr>
          <w:rFonts w:asciiTheme="minorHAnsi" w:eastAsiaTheme="minorEastAsia" w:hAnsiTheme="minorHAnsi"/>
          <w:b w:val="0"/>
          <w:sz w:val="21"/>
        </w:rPr>
      </w:pPr>
      <w:hyperlink w:anchor="_Toc63007028" w:history="1">
        <w:r>
          <w:rPr>
            <w:rStyle w:val="af"/>
            <w:color w:val="auto"/>
          </w:rPr>
          <w:t>五、</w:t>
        </w:r>
        <w:r>
          <w:rPr>
            <w:rStyle w:val="af"/>
            <w:color w:val="auto"/>
          </w:rPr>
          <w:t>“</w:t>
        </w:r>
        <w:r>
          <w:rPr>
            <w:rStyle w:val="af"/>
            <w:color w:val="auto"/>
          </w:rPr>
          <w:t>十四五</w:t>
        </w:r>
        <w:r>
          <w:rPr>
            <w:rStyle w:val="af"/>
            <w:color w:val="auto"/>
          </w:rPr>
          <w:t>”</w:t>
        </w:r>
        <w:r>
          <w:rPr>
            <w:rStyle w:val="af"/>
            <w:color w:val="auto"/>
          </w:rPr>
          <w:t>期间体育发展重大项目</w:t>
        </w:r>
        <w:r>
          <w:tab/>
        </w:r>
        <w:r>
          <w:fldChar w:fldCharType="begin"/>
        </w:r>
        <w:r>
          <w:instrText xml:space="preserve"> PAGEREF _Toc63007028 \h </w:instrText>
        </w:r>
        <w:r>
          <w:fldChar w:fldCharType="separate"/>
        </w:r>
        <w:r>
          <w:t>40</w:t>
        </w:r>
        <w:r>
          <w:fldChar w:fldCharType="end"/>
        </w:r>
      </w:hyperlink>
    </w:p>
    <w:p w14:paraId="7769CAC4" w14:textId="77777777" w:rsidR="008A5C83" w:rsidRDefault="00A7141B">
      <w:pPr>
        <w:pStyle w:val="TOC2"/>
        <w:rPr>
          <w:rFonts w:asciiTheme="minorHAnsi" w:eastAsiaTheme="minorEastAsia" w:hAnsiTheme="minorHAnsi"/>
          <w:color w:val="auto"/>
          <w:sz w:val="21"/>
        </w:rPr>
      </w:pPr>
      <w:hyperlink w:anchor="_Toc63007029" w:history="1">
        <w:r>
          <w:rPr>
            <w:rStyle w:val="af"/>
            <w:color w:val="auto"/>
          </w:rPr>
          <w:t>（一）加大重大体育基础项目投资建设</w:t>
        </w:r>
        <w:r>
          <w:rPr>
            <w:color w:val="auto"/>
          </w:rPr>
          <w:tab/>
        </w:r>
        <w:r>
          <w:rPr>
            <w:color w:val="auto"/>
          </w:rPr>
          <w:fldChar w:fldCharType="begin"/>
        </w:r>
        <w:r>
          <w:rPr>
            <w:color w:val="auto"/>
          </w:rPr>
          <w:instrText xml:space="preserve"> PAGEREF _Toc63007029 \h </w:instrText>
        </w:r>
        <w:r>
          <w:rPr>
            <w:color w:val="auto"/>
          </w:rPr>
        </w:r>
        <w:r>
          <w:rPr>
            <w:color w:val="auto"/>
          </w:rPr>
          <w:fldChar w:fldCharType="separate"/>
        </w:r>
        <w:r>
          <w:rPr>
            <w:color w:val="auto"/>
          </w:rPr>
          <w:t>40</w:t>
        </w:r>
        <w:r>
          <w:rPr>
            <w:color w:val="auto"/>
          </w:rPr>
          <w:fldChar w:fldCharType="end"/>
        </w:r>
      </w:hyperlink>
    </w:p>
    <w:p w14:paraId="3094A7A2" w14:textId="77777777" w:rsidR="008A5C83" w:rsidRDefault="00A7141B">
      <w:pPr>
        <w:pStyle w:val="TOC2"/>
        <w:rPr>
          <w:rFonts w:asciiTheme="minorHAnsi" w:eastAsiaTheme="minorEastAsia" w:hAnsiTheme="minorHAnsi"/>
          <w:color w:val="auto"/>
          <w:sz w:val="21"/>
        </w:rPr>
      </w:pPr>
      <w:hyperlink w:anchor="_Toc63007035" w:history="1">
        <w:r>
          <w:rPr>
            <w:rStyle w:val="af"/>
            <w:color w:val="auto"/>
          </w:rPr>
          <w:t>（二）扶持打造产业融合项目</w:t>
        </w:r>
        <w:r>
          <w:rPr>
            <w:color w:val="auto"/>
          </w:rPr>
          <w:tab/>
        </w:r>
        <w:r>
          <w:rPr>
            <w:rFonts w:hint="eastAsia"/>
            <w:color w:val="auto"/>
          </w:rPr>
          <w:t>41</w:t>
        </w:r>
      </w:hyperlink>
    </w:p>
    <w:p w14:paraId="51EFB104" w14:textId="77777777" w:rsidR="008A5C83" w:rsidRDefault="00A7141B">
      <w:pPr>
        <w:pStyle w:val="TOC2"/>
        <w:rPr>
          <w:rFonts w:asciiTheme="minorHAnsi" w:eastAsiaTheme="minorEastAsia" w:hAnsiTheme="minorHAnsi"/>
          <w:color w:val="auto"/>
          <w:sz w:val="21"/>
        </w:rPr>
      </w:pPr>
      <w:hyperlink w:anchor="_Toc63007041" w:history="1">
        <w:r>
          <w:rPr>
            <w:rStyle w:val="af"/>
            <w:color w:val="auto"/>
          </w:rPr>
          <w:t>（三）筹划举办重大体育赛事和活动</w:t>
        </w:r>
        <w:r>
          <w:rPr>
            <w:color w:val="auto"/>
          </w:rPr>
          <w:tab/>
        </w:r>
        <w:r>
          <w:rPr>
            <w:rFonts w:hint="eastAsia"/>
            <w:color w:val="auto"/>
          </w:rPr>
          <w:t>44</w:t>
        </w:r>
      </w:hyperlink>
    </w:p>
    <w:p w14:paraId="7366C503" w14:textId="77777777" w:rsidR="008A5C83" w:rsidRDefault="00A7141B">
      <w:pPr>
        <w:ind w:firstLine="562"/>
        <w:rPr>
          <w:b/>
          <w:sz w:val="36"/>
          <w:szCs w:val="32"/>
        </w:rPr>
        <w:sectPr w:rsidR="008A5C8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r>
        <w:rPr>
          <w:b/>
          <w:bCs/>
          <w:lang w:val="zh-CN"/>
        </w:rPr>
        <w:fldChar w:fldCharType="end"/>
      </w:r>
    </w:p>
    <w:p w14:paraId="48A0E6C5"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lastRenderedPageBreak/>
        <w:t>前言：“十四五”时期（</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 xml:space="preserve">2025 </w:t>
      </w:r>
      <w:r>
        <w:rPr>
          <w:rFonts w:ascii="仿宋_GB2312" w:eastAsia="仿宋_GB2312" w:hint="eastAsia"/>
          <w:sz w:val="32"/>
          <w:szCs w:val="32"/>
        </w:rPr>
        <w:t>年），是柳州市全面开启社会主义现代化新征程，率先实现城乡公共体育服务高质量均等化的关键时期，对于推动全民健身和全民健康深度融合、</w:t>
      </w:r>
      <w:r>
        <w:rPr>
          <w:rFonts w:ascii="仿宋_GB2312" w:eastAsia="仿宋_GB2312" w:hint="eastAsia"/>
          <w:sz w:val="32"/>
          <w:szCs w:val="32"/>
        </w:rPr>
        <w:t xml:space="preserve"> </w:t>
      </w:r>
      <w:r>
        <w:rPr>
          <w:rFonts w:ascii="仿宋_GB2312" w:eastAsia="仿宋_GB2312" w:hint="eastAsia"/>
          <w:sz w:val="32"/>
          <w:szCs w:val="32"/>
        </w:rPr>
        <w:t>“广西体育旅游示范市”等工作具有决定性意义。《柳州市体育事业“十四五”发展规划》，是战略性、纲领性和综合性规划，是未来五年的体育事业发展蓝图和总体部署，是编制和实施柳州市体育事业年度计划以及制定相关政策的重要依据。</w:t>
      </w:r>
    </w:p>
    <w:p w14:paraId="5FC1F5F2" w14:textId="77777777" w:rsidR="008A5C83" w:rsidRDefault="00A7141B">
      <w:pPr>
        <w:pStyle w:val="1"/>
        <w:spacing w:before="0" w:after="0"/>
        <w:rPr>
          <w:rFonts w:ascii="黑体" w:eastAsia="黑体" w:hAnsi="黑体" w:hint="eastAsia"/>
        </w:rPr>
      </w:pPr>
      <w:bookmarkStart w:id="0" w:name="_Toc55920304"/>
      <w:bookmarkStart w:id="1" w:name="_Toc55906500"/>
      <w:bookmarkStart w:id="2" w:name="_Toc63006973"/>
      <w:r>
        <w:rPr>
          <w:rFonts w:hint="eastAsia"/>
        </w:rPr>
        <w:t xml:space="preserve">    </w:t>
      </w:r>
      <w:r>
        <w:rPr>
          <w:rFonts w:ascii="黑体" w:eastAsia="黑体" w:hAnsi="黑体" w:hint="eastAsia"/>
        </w:rPr>
        <w:t>一、“十三五”期间柳州市体育发展状况回顾</w:t>
      </w:r>
      <w:bookmarkEnd w:id="0"/>
      <w:bookmarkEnd w:id="1"/>
      <w:bookmarkEnd w:id="2"/>
    </w:p>
    <w:p w14:paraId="2F0531B6" w14:textId="77777777" w:rsidR="008A5C83" w:rsidRDefault="00A7141B">
      <w:pPr>
        <w:pStyle w:val="2"/>
        <w:spacing w:before="0" w:after="0"/>
        <w:rPr>
          <w:color w:val="auto"/>
          <w:sz w:val="32"/>
        </w:rPr>
      </w:pPr>
      <w:bookmarkStart w:id="3" w:name="_Toc55906501"/>
      <w:bookmarkStart w:id="4" w:name="_Toc55920305"/>
      <w:bookmarkStart w:id="5" w:name="_Toc63006974"/>
      <w:r>
        <w:rPr>
          <w:rFonts w:hint="eastAsia"/>
          <w:color w:val="auto"/>
          <w:sz w:val="32"/>
        </w:rPr>
        <w:t xml:space="preserve">  </w:t>
      </w:r>
      <w:r>
        <w:rPr>
          <w:rFonts w:hint="eastAsia"/>
          <w:color w:val="auto"/>
          <w:sz w:val="32"/>
        </w:rPr>
        <w:t>（一）“十三五”期间体育发展成就</w:t>
      </w:r>
      <w:bookmarkEnd w:id="3"/>
      <w:bookmarkEnd w:id="4"/>
      <w:bookmarkEnd w:id="5"/>
    </w:p>
    <w:p w14:paraId="7550E310"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十三五”时期，在柳州市委、市政府正确领导下，柳州市体育工作坚持以习近平新时代中国特色社会主义思想为指导，大力发展以人民为中心的体育事业，加快推进健康柳州建设，全面深入实施全民健身国家战略，紧紧围绕“群众去哪健身”、“健身贵”、“如何科学健身”等痛点、难点问题，从转机制、稳供给、促保障、抓指引等入手，不断健全完善政策机制体系、制度规范体系、组织指</w:t>
      </w:r>
      <w:r>
        <w:rPr>
          <w:rFonts w:ascii="仿宋_GB2312" w:eastAsia="仿宋_GB2312" w:hint="eastAsia"/>
          <w:sz w:val="32"/>
          <w:szCs w:val="32"/>
        </w:rPr>
        <w:lastRenderedPageBreak/>
        <w:t>导体系、设施保障体系、赛事活动体系，结合柳州特色和实际，形成部门协同推进、社会动员有力、人民群众广泛参与的体育发展新格局，柳州市体育事业发展成效显著。</w:t>
      </w:r>
    </w:p>
    <w:p w14:paraId="3B23D5BF" w14:textId="77777777" w:rsidR="008A5C83" w:rsidRDefault="00A7141B">
      <w:pPr>
        <w:pStyle w:val="3"/>
        <w:numPr>
          <w:ilvl w:val="0"/>
          <w:numId w:val="0"/>
        </w:numPr>
        <w:spacing w:before="0" w:after="0" w:line="240" w:lineRule="auto"/>
        <w:ind w:firstLineChars="196" w:firstLine="630"/>
        <w:rPr>
          <w:rFonts w:ascii="仿宋_GB2312" w:eastAsia="仿宋_GB2312"/>
          <w:sz w:val="32"/>
        </w:rPr>
      </w:pPr>
      <w:bookmarkStart w:id="6" w:name="_Toc63006975"/>
      <w:bookmarkStart w:id="7" w:name="_Toc63006289"/>
      <w:r>
        <w:rPr>
          <w:rFonts w:ascii="仿宋_GB2312" w:eastAsia="仿宋_GB2312" w:hint="eastAsia"/>
          <w:sz w:val="32"/>
        </w:rPr>
        <w:t>1.</w:t>
      </w:r>
      <w:r>
        <w:rPr>
          <w:rFonts w:ascii="仿宋_GB2312" w:eastAsia="仿宋_GB2312" w:hint="eastAsia"/>
          <w:sz w:val="32"/>
        </w:rPr>
        <w:t>全民建身活动深度发展</w:t>
      </w:r>
      <w:bookmarkEnd w:id="6"/>
      <w:bookmarkEnd w:id="7"/>
    </w:p>
    <w:p w14:paraId="68CBE0D1"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落实《体育总局关于开展全民运动健身模范市和全民运动健身模范县</w:t>
      </w:r>
      <w:r>
        <w:rPr>
          <w:rFonts w:ascii="仿宋_GB2312" w:eastAsia="仿宋_GB2312" w:hint="eastAsia"/>
          <w:sz w:val="32"/>
          <w:szCs w:val="32"/>
        </w:rPr>
        <w:t>(</w:t>
      </w:r>
      <w:r>
        <w:rPr>
          <w:rFonts w:ascii="仿宋_GB2312" w:eastAsia="仿宋_GB2312" w:hint="eastAsia"/>
          <w:sz w:val="32"/>
          <w:szCs w:val="32"/>
        </w:rPr>
        <w:t>市、区</w:t>
      </w:r>
      <w:r>
        <w:rPr>
          <w:rFonts w:ascii="仿宋_GB2312" w:eastAsia="仿宋_GB2312" w:hint="eastAsia"/>
          <w:sz w:val="32"/>
          <w:szCs w:val="32"/>
        </w:rPr>
        <w:t>)</w:t>
      </w:r>
      <w:r>
        <w:rPr>
          <w:rFonts w:ascii="仿宋_GB2312" w:eastAsia="仿宋_GB2312" w:hint="eastAsia"/>
          <w:sz w:val="32"/>
          <w:szCs w:val="32"/>
        </w:rPr>
        <w:t>创建工作的通知》要求，构建“政府主导、部门协同、社会参与”的全民健身格局。坚决落实市委市政府“体育场馆姓体、体育场馆为民”的要求，优先保障场馆对市民普惠开放。在原有</w:t>
      </w:r>
      <w:proofErr w:type="gramStart"/>
      <w:r>
        <w:rPr>
          <w:rFonts w:ascii="仿宋_GB2312" w:eastAsia="仿宋_GB2312" w:hint="eastAsia"/>
          <w:sz w:val="32"/>
          <w:szCs w:val="32"/>
        </w:rPr>
        <w:t>免费低</w:t>
      </w:r>
      <w:proofErr w:type="gramEnd"/>
      <w:r>
        <w:rPr>
          <w:rFonts w:ascii="仿宋_GB2312" w:eastAsia="仿宋_GB2312" w:hint="eastAsia"/>
          <w:sz w:val="32"/>
          <w:szCs w:val="32"/>
        </w:rPr>
        <w:t>收费开放运营的基础上，</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月，对各市属公共体育场馆的群众锻炼收费项目全部降价</w:t>
      </w:r>
      <w:r>
        <w:rPr>
          <w:rFonts w:ascii="仿宋_GB2312" w:eastAsia="仿宋_GB2312" w:hint="eastAsia"/>
          <w:sz w:val="32"/>
          <w:szCs w:val="32"/>
        </w:rPr>
        <w:t>50%</w:t>
      </w:r>
      <w:r>
        <w:rPr>
          <w:rFonts w:ascii="仿宋_GB2312" w:eastAsia="仿宋_GB2312" w:hint="eastAsia"/>
          <w:sz w:val="32"/>
          <w:szCs w:val="32"/>
        </w:rPr>
        <w:t>，大大降低市民锻炼成本，进一步激发市民的健身热情。</w:t>
      </w:r>
    </w:p>
    <w:p w14:paraId="707CA95C"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市区每年开展长跑、健身走、球类运动等</w:t>
      </w:r>
      <w:r>
        <w:rPr>
          <w:rFonts w:ascii="仿宋_GB2312" w:eastAsia="仿宋_GB2312" w:hint="eastAsia"/>
          <w:sz w:val="32"/>
          <w:szCs w:val="32"/>
        </w:rPr>
        <w:t>100</w:t>
      </w:r>
      <w:r>
        <w:rPr>
          <w:rFonts w:ascii="仿宋_GB2312" w:eastAsia="仿宋_GB2312" w:hint="eastAsia"/>
          <w:sz w:val="32"/>
          <w:szCs w:val="32"/>
        </w:rPr>
        <w:t>多项各类群众性体育活动，创办“百里柳江</w:t>
      </w:r>
      <w:proofErr w:type="gramStart"/>
      <w:r>
        <w:rPr>
          <w:rFonts w:ascii="仿宋_GB2312" w:eastAsia="仿宋_GB2312" w:hint="eastAsia"/>
          <w:sz w:val="32"/>
          <w:szCs w:val="32"/>
        </w:rPr>
        <w:t>百公里</w:t>
      </w:r>
      <w:proofErr w:type="gramEnd"/>
      <w:r>
        <w:rPr>
          <w:rFonts w:ascii="仿宋_GB2312" w:eastAsia="仿宋_GB2312" w:hint="eastAsia"/>
          <w:sz w:val="32"/>
          <w:szCs w:val="32"/>
        </w:rPr>
        <w:t>徒步活动”、“百里柳江快乐骑行”、“柳州市气排球超级联赛”、“柳州市羽毛球超级联赛”、“柳州市足球联赛”、“柳州市保龄球联赛”、“柳州市帆船赛”等多项群众体育</w:t>
      </w:r>
      <w:proofErr w:type="gramStart"/>
      <w:r>
        <w:rPr>
          <w:rFonts w:ascii="仿宋_GB2312" w:eastAsia="仿宋_GB2312" w:hint="eastAsia"/>
          <w:sz w:val="32"/>
          <w:szCs w:val="32"/>
        </w:rPr>
        <w:t>品牌赛事</w:t>
      </w:r>
      <w:proofErr w:type="gramEnd"/>
      <w:r>
        <w:rPr>
          <w:rFonts w:ascii="仿宋_GB2312" w:eastAsia="仿宋_GB2312" w:hint="eastAsia"/>
          <w:sz w:val="32"/>
          <w:szCs w:val="32"/>
        </w:rPr>
        <w:t>活动。</w:t>
      </w:r>
      <w:r>
        <w:rPr>
          <w:rFonts w:ascii="仿宋_GB2312" w:eastAsia="仿宋_GB2312" w:hint="eastAsia"/>
          <w:sz w:val="32"/>
          <w:szCs w:val="32"/>
        </w:rPr>
        <w:lastRenderedPageBreak/>
        <w:t>各县区、大中型企事业单位体育活动亮点纷呈，</w:t>
      </w:r>
      <w:proofErr w:type="gramStart"/>
      <w:r>
        <w:rPr>
          <w:rFonts w:ascii="仿宋_GB2312" w:eastAsia="仿宋_GB2312" w:hint="eastAsia"/>
          <w:sz w:val="32"/>
          <w:szCs w:val="32"/>
        </w:rPr>
        <w:t>如鱼峰区</w:t>
      </w:r>
      <w:proofErr w:type="gramEnd"/>
      <w:r>
        <w:rPr>
          <w:rFonts w:ascii="仿宋_GB2312" w:eastAsia="仿宋_GB2312" w:hint="eastAsia"/>
          <w:sz w:val="32"/>
          <w:szCs w:val="32"/>
        </w:rPr>
        <w:t>打造“十五分钟文化体育活力圈”，城中区连续承办全国体育舞蹈公开赛，柳南区打造“活力柳南”健身运动品牌，为营造良好的基层群众体育文化发挥了积极的作用。鼓励和促进体育社会组织建立和发展，体育社会组织体系逐步完善。“十三五”时期全市共建立有体育总会、体育单项协会、体育俱乐部等各类体育社会组织</w:t>
      </w:r>
      <w:r>
        <w:rPr>
          <w:rFonts w:ascii="仿宋_GB2312" w:eastAsia="仿宋_GB2312" w:hint="eastAsia"/>
          <w:sz w:val="32"/>
          <w:szCs w:val="32"/>
        </w:rPr>
        <w:t>199</w:t>
      </w:r>
      <w:r>
        <w:rPr>
          <w:rFonts w:ascii="仿宋_GB2312" w:eastAsia="仿宋_GB2312" w:hint="eastAsia"/>
          <w:sz w:val="32"/>
          <w:szCs w:val="32"/>
        </w:rPr>
        <w:t>个，拥有三级以上社会体育指导员</w:t>
      </w:r>
      <w:r>
        <w:rPr>
          <w:rFonts w:ascii="仿宋_GB2312" w:eastAsia="仿宋_GB2312" w:hint="eastAsia"/>
          <w:sz w:val="32"/>
          <w:szCs w:val="32"/>
        </w:rPr>
        <w:t>7335</w:t>
      </w:r>
      <w:r>
        <w:rPr>
          <w:rFonts w:ascii="仿宋_GB2312" w:eastAsia="仿宋_GB2312" w:hint="eastAsia"/>
          <w:sz w:val="32"/>
          <w:szCs w:val="32"/>
        </w:rPr>
        <w:t>人。</w:t>
      </w:r>
    </w:p>
    <w:p w14:paraId="797A1CCA"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随着全民健身运动的发展，群众性体育活动成绩斐然。在自治区第十四届运动会群众体育项目上，柳州市代表团参加了足球、网球、羽毛球、攀岩、围棋、健身气功等项目比赛，</w:t>
      </w:r>
      <w:bookmarkStart w:id="8" w:name="_Toc63006290"/>
      <w:bookmarkStart w:id="9" w:name="_Toc63006976"/>
      <w:r>
        <w:rPr>
          <w:rFonts w:ascii="仿宋_GB2312" w:eastAsia="仿宋_GB2312" w:hint="eastAsia"/>
          <w:sz w:val="32"/>
          <w:szCs w:val="32"/>
        </w:rPr>
        <w:t>共获得群众类体育项目</w:t>
      </w:r>
      <w:r>
        <w:rPr>
          <w:rFonts w:ascii="仿宋_GB2312" w:eastAsia="仿宋_GB2312" w:hint="eastAsia"/>
          <w:sz w:val="32"/>
          <w:szCs w:val="32"/>
        </w:rPr>
        <w:t>13</w:t>
      </w:r>
      <w:r>
        <w:rPr>
          <w:rFonts w:ascii="仿宋_GB2312" w:eastAsia="仿宋_GB2312" w:hint="eastAsia"/>
          <w:sz w:val="32"/>
          <w:szCs w:val="32"/>
        </w:rPr>
        <w:t>枚金牌、</w:t>
      </w:r>
      <w:r>
        <w:rPr>
          <w:rFonts w:ascii="仿宋_GB2312" w:eastAsia="仿宋_GB2312" w:hint="eastAsia"/>
          <w:sz w:val="32"/>
          <w:szCs w:val="32"/>
        </w:rPr>
        <w:t>13</w:t>
      </w:r>
      <w:r>
        <w:rPr>
          <w:rFonts w:ascii="仿宋_GB2312" w:eastAsia="仿宋_GB2312" w:hint="eastAsia"/>
          <w:sz w:val="32"/>
          <w:szCs w:val="32"/>
        </w:rPr>
        <w:t>枚银牌、</w:t>
      </w:r>
      <w:r>
        <w:rPr>
          <w:rFonts w:ascii="仿宋_GB2312" w:eastAsia="仿宋_GB2312" w:hint="eastAsia"/>
          <w:sz w:val="32"/>
          <w:szCs w:val="32"/>
        </w:rPr>
        <w:t>18</w:t>
      </w:r>
      <w:r>
        <w:rPr>
          <w:rFonts w:ascii="仿宋_GB2312" w:eastAsia="仿宋_GB2312" w:hint="eastAsia"/>
          <w:sz w:val="32"/>
          <w:szCs w:val="32"/>
        </w:rPr>
        <w:t>枚铜牌，以</w:t>
      </w:r>
      <w:r>
        <w:rPr>
          <w:rFonts w:ascii="仿宋_GB2312" w:eastAsia="仿宋_GB2312" w:hint="eastAsia"/>
          <w:sz w:val="32"/>
          <w:szCs w:val="32"/>
        </w:rPr>
        <w:t>44</w:t>
      </w:r>
      <w:r>
        <w:rPr>
          <w:rFonts w:ascii="仿宋_GB2312" w:eastAsia="仿宋_GB2312" w:hint="eastAsia"/>
          <w:sz w:val="32"/>
          <w:szCs w:val="32"/>
        </w:rPr>
        <w:t>枚奖牌总数与百色并列第一。</w:t>
      </w:r>
    </w:p>
    <w:p w14:paraId="5CAF60A6" w14:textId="77777777" w:rsidR="008A5C83" w:rsidRDefault="00A7141B">
      <w:pPr>
        <w:spacing w:line="240" w:lineRule="auto"/>
        <w:ind w:firstLine="643"/>
        <w:rPr>
          <w:rFonts w:ascii="仿宋_GB2312" w:eastAsia="仿宋_GB2312"/>
          <w:b/>
          <w:sz w:val="32"/>
        </w:rPr>
      </w:pPr>
      <w:r>
        <w:rPr>
          <w:rFonts w:ascii="仿宋_GB2312" w:eastAsia="仿宋_GB2312" w:hint="eastAsia"/>
          <w:b/>
          <w:sz w:val="32"/>
        </w:rPr>
        <w:t>2.</w:t>
      </w:r>
      <w:r>
        <w:rPr>
          <w:rFonts w:ascii="仿宋_GB2312" w:eastAsia="仿宋_GB2312" w:hint="eastAsia"/>
          <w:b/>
          <w:sz w:val="32"/>
        </w:rPr>
        <w:t>体育基础设施建设不断完善</w:t>
      </w:r>
      <w:bookmarkEnd w:id="8"/>
      <w:bookmarkEnd w:id="9"/>
    </w:p>
    <w:p w14:paraId="4F1BB677"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编制完成《柳州市体育公共设施专项规划（</w:t>
      </w:r>
      <w:r>
        <w:rPr>
          <w:rFonts w:ascii="仿宋_GB2312" w:eastAsia="仿宋_GB2312" w:hint="eastAsia"/>
          <w:sz w:val="32"/>
          <w:szCs w:val="32"/>
        </w:rPr>
        <w:t>2019-2035</w:t>
      </w:r>
      <w:r>
        <w:rPr>
          <w:rFonts w:ascii="仿宋_GB2312" w:eastAsia="仿宋_GB2312" w:hint="eastAsia"/>
          <w:sz w:val="32"/>
          <w:szCs w:val="32"/>
        </w:rPr>
        <w:t>）》，致力于打造</w:t>
      </w:r>
      <w:r>
        <w:rPr>
          <w:rFonts w:ascii="仿宋_GB2312" w:eastAsia="仿宋_GB2312" w:hint="eastAsia"/>
          <w:sz w:val="32"/>
          <w:szCs w:val="32"/>
        </w:rPr>
        <w:t>15</w:t>
      </w:r>
      <w:r>
        <w:rPr>
          <w:rFonts w:ascii="仿宋_GB2312" w:eastAsia="仿宋_GB2312" w:hint="eastAsia"/>
          <w:sz w:val="32"/>
          <w:szCs w:val="32"/>
        </w:rPr>
        <w:t>分钟健身生活圈。累计投入体彩公益金</w:t>
      </w:r>
      <w:r>
        <w:rPr>
          <w:rFonts w:ascii="仿宋_GB2312" w:eastAsia="仿宋_GB2312" w:hint="eastAsia"/>
          <w:sz w:val="32"/>
          <w:szCs w:val="32"/>
        </w:rPr>
        <w:t>3000</w:t>
      </w:r>
      <w:r>
        <w:rPr>
          <w:rFonts w:ascii="仿宋_GB2312" w:eastAsia="仿宋_GB2312" w:hint="eastAsia"/>
          <w:sz w:val="32"/>
          <w:szCs w:val="32"/>
        </w:rPr>
        <w:t>多万元用于开展群众体育活动、建设全民健身设</w:t>
      </w:r>
      <w:r>
        <w:rPr>
          <w:rFonts w:ascii="仿宋_GB2312" w:eastAsia="仿宋_GB2312" w:hint="eastAsia"/>
          <w:sz w:val="32"/>
          <w:szCs w:val="32"/>
        </w:rPr>
        <w:lastRenderedPageBreak/>
        <w:t>施、体育场地维修等惠民工程。</w:t>
      </w:r>
    </w:p>
    <w:p w14:paraId="7533DE3A"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实施体育公园引领工程，每个县区在核心地段规划建设一个体育公园。每个体育公园占地面积不少于</w:t>
      </w:r>
      <w:r>
        <w:rPr>
          <w:rFonts w:ascii="仿宋_GB2312" w:eastAsia="仿宋_GB2312" w:hint="eastAsia"/>
          <w:sz w:val="32"/>
          <w:szCs w:val="32"/>
        </w:rPr>
        <w:t>1</w:t>
      </w:r>
      <w:r>
        <w:rPr>
          <w:rFonts w:ascii="仿宋_GB2312" w:eastAsia="仿宋_GB2312"/>
          <w:sz w:val="32"/>
          <w:szCs w:val="32"/>
        </w:rPr>
        <w:t>3</w:t>
      </w:r>
      <w:r>
        <w:rPr>
          <w:rFonts w:ascii="仿宋_GB2312" w:eastAsia="仿宋_GB2312" w:hint="eastAsia"/>
          <w:sz w:val="32"/>
          <w:szCs w:val="32"/>
        </w:rPr>
        <w:t>0</w:t>
      </w:r>
      <w:r>
        <w:rPr>
          <w:rFonts w:ascii="仿宋_GB2312" w:eastAsia="仿宋_GB2312" w:hint="eastAsia"/>
          <w:sz w:val="32"/>
          <w:szCs w:val="32"/>
        </w:rPr>
        <w:t>亩，能同时容纳</w:t>
      </w:r>
      <w:r>
        <w:rPr>
          <w:rFonts w:ascii="仿宋_GB2312" w:eastAsia="仿宋_GB2312" w:hint="eastAsia"/>
          <w:sz w:val="32"/>
          <w:szCs w:val="32"/>
        </w:rPr>
        <w:t>2000</w:t>
      </w:r>
      <w:r>
        <w:rPr>
          <w:rFonts w:ascii="仿宋_GB2312" w:eastAsia="仿宋_GB2312" w:hint="eastAsia"/>
          <w:sz w:val="32"/>
          <w:szCs w:val="32"/>
        </w:rPr>
        <w:t>人入场健身，这在全国三线地级城市尚属首例，大力促进了县区经济社会发展。目前，融水县民族体育公园、柳东新区体育中心一、二期、柳江区体育公园一、二期、城中区体育公园、鹿寨县体育公园、柳城东区体育公园一期已建成，柳北、柳南区体育公园将于</w:t>
      </w:r>
      <w:r>
        <w:rPr>
          <w:rFonts w:ascii="仿宋_GB2312" w:eastAsia="仿宋_GB2312" w:hint="eastAsia"/>
          <w:sz w:val="32"/>
          <w:szCs w:val="32"/>
        </w:rPr>
        <w:t>2021</w:t>
      </w:r>
      <w:r>
        <w:rPr>
          <w:rFonts w:ascii="仿宋_GB2312" w:eastAsia="仿宋_GB2312" w:hint="eastAsia"/>
          <w:sz w:val="32"/>
          <w:szCs w:val="32"/>
        </w:rPr>
        <w:t>年竣工，融安河西体育公园、三江县文体中心、融水</w:t>
      </w:r>
      <w:proofErr w:type="gramStart"/>
      <w:r>
        <w:rPr>
          <w:rFonts w:ascii="仿宋_GB2312" w:eastAsia="仿宋_GB2312" w:hint="eastAsia"/>
          <w:sz w:val="32"/>
          <w:szCs w:val="32"/>
        </w:rPr>
        <w:t>水</w:t>
      </w:r>
      <w:proofErr w:type="gramEnd"/>
      <w:r>
        <w:rPr>
          <w:rFonts w:ascii="仿宋_GB2312" w:eastAsia="仿宋_GB2312" w:hint="eastAsia"/>
          <w:sz w:val="32"/>
          <w:szCs w:val="32"/>
        </w:rPr>
        <w:t>东体育中心已在规划和建设中，</w:t>
      </w:r>
      <w:proofErr w:type="gramStart"/>
      <w:r>
        <w:rPr>
          <w:rFonts w:ascii="仿宋_GB2312" w:eastAsia="仿宋_GB2312" w:hint="eastAsia"/>
          <w:sz w:val="32"/>
          <w:szCs w:val="32"/>
        </w:rPr>
        <w:t>鱼峰区</w:t>
      </w:r>
      <w:proofErr w:type="gramEnd"/>
      <w:r>
        <w:rPr>
          <w:rFonts w:ascii="仿宋_GB2312" w:eastAsia="仿宋_GB2312" w:hint="eastAsia"/>
          <w:sz w:val="32"/>
          <w:szCs w:val="32"/>
        </w:rPr>
        <w:t>体育公园因用地规划变更，目前处于调整阶段，将于</w:t>
      </w:r>
      <w:r>
        <w:rPr>
          <w:rFonts w:ascii="仿宋_GB2312" w:eastAsia="仿宋_GB2312" w:hint="eastAsia"/>
          <w:sz w:val="32"/>
          <w:szCs w:val="32"/>
        </w:rPr>
        <w:t>2021</w:t>
      </w:r>
      <w:r>
        <w:rPr>
          <w:rFonts w:ascii="仿宋_GB2312" w:eastAsia="仿宋_GB2312" w:hint="eastAsia"/>
          <w:sz w:val="32"/>
          <w:szCs w:val="32"/>
        </w:rPr>
        <w:t>年实施。</w:t>
      </w:r>
    </w:p>
    <w:p w14:paraId="61E13F98"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大力推进全市体育基础设施建设，努力实现城乡公共体育服务高质量均等化发展。全市</w:t>
      </w:r>
      <w:r>
        <w:rPr>
          <w:rFonts w:ascii="仿宋_GB2312" w:eastAsia="仿宋_GB2312" w:hint="eastAsia"/>
          <w:sz w:val="32"/>
          <w:szCs w:val="32"/>
        </w:rPr>
        <w:t>935</w:t>
      </w:r>
      <w:r>
        <w:rPr>
          <w:rFonts w:ascii="仿宋_GB2312" w:eastAsia="仿宋_GB2312" w:hint="eastAsia"/>
          <w:sz w:val="32"/>
          <w:szCs w:val="32"/>
        </w:rPr>
        <w:t>个行政村已实现村级篮球场建设</w:t>
      </w:r>
      <w:r>
        <w:rPr>
          <w:rFonts w:ascii="仿宋_GB2312" w:eastAsia="仿宋_GB2312" w:hint="eastAsia"/>
          <w:sz w:val="32"/>
          <w:szCs w:val="32"/>
        </w:rPr>
        <w:t>100%</w:t>
      </w:r>
      <w:r>
        <w:rPr>
          <w:rFonts w:ascii="仿宋_GB2312" w:eastAsia="仿宋_GB2312" w:hint="eastAsia"/>
          <w:sz w:val="32"/>
          <w:szCs w:val="32"/>
        </w:rPr>
        <w:t>全覆盖，</w:t>
      </w:r>
      <w:r>
        <w:rPr>
          <w:rFonts w:ascii="仿宋_GB2312" w:eastAsia="仿宋_GB2312" w:hint="eastAsia"/>
          <w:sz w:val="32"/>
          <w:szCs w:val="32"/>
        </w:rPr>
        <w:t xml:space="preserve"> 39</w:t>
      </w:r>
      <w:r>
        <w:rPr>
          <w:rFonts w:ascii="仿宋_GB2312" w:eastAsia="仿宋_GB2312" w:hint="eastAsia"/>
          <w:sz w:val="32"/>
          <w:szCs w:val="32"/>
        </w:rPr>
        <w:t>个异地移民搬迁安置点安装了全民健身路径；截至</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月，全市五年建成社会足球场建成</w:t>
      </w:r>
      <w:r>
        <w:rPr>
          <w:rFonts w:ascii="仿宋_GB2312" w:eastAsia="仿宋_GB2312" w:hint="eastAsia"/>
          <w:sz w:val="32"/>
          <w:szCs w:val="32"/>
        </w:rPr>
        <w:t>1</w:t>
      </w:r>
      <w:r>
        <w:rPr>
          <w:rFonts w:ascii="仿宋_GB2312" w:eastAsia="仿宋_GB2312"/>
          <w:sz w:val="32"/>
          <w:szCs w:val="32"/>
        </w:rPr>
        <w:t>44</w:t>
      </w:r>
      <w:r>
        <w:rPr>
          <w:rFonts w:ascii="仿宋_GB2312" w:eastAsia="仿宋_GB2312" w:hint="eastAsia"/>
          <w:sz w:val="32"/>
          <w:szCs w:val="32"/>
        </w:rPr>
        <w:t>块，完成“十三五”任务目标</w:t>
      </w:r>
      <w:r>
        <w:rPr>
          <w:rFonts w:ascii="仿宋_GB2312" w:eastAsia="仿宋_GB2312" w:hint="eastAsia"/>
          <w:sz w:val="32"/>
          <w:szCs w:val="32"/>
        </w:rPr>
        <w:t>79</w:t>
      </w:r>
      <w:r>
        <w:rPr>
          <w:rFonts w:ascii="仿宋_GB2312" w:eastAsia="仿宋_GB2312" w:hint="eastAsia"/>
          <w:sz w:val="32"/>
          <w:szCs w:val="32"/>
        </w:rPr>
        <w:t>块的</w:t>
      </w:r>
      <w:r>
        <w:rPr>
          <w:rFonts w:ascii="仿宋_GB2312" w:eastAsia="仿宋_GB2312" w:hint="eastAsia"/>
          <w:sz w:val="32"/>
          <w:szCs w:val="32"/>
        </w:rPr>
        <w:t>1</w:t>
      </w:r>
      <w:r>
        <w:rPr>
          <w:rFonts w:ascii="仿宋_GB2312" w:eastAsia="仿宋_GB2312"/>
          <w:sz w:val="32"/>
          <w:szCs w:val="32"/>
        </w:rPr>
        <w:t>82</w:t>
      </w:r>
      <w:r>
        <w:rPr>
          <w:rFonts w:ascii="仿宋_GB2312" w:eastAsia="仿宋_GB2312" w:hint="eastAsia"/>
          <w:sz w:val="32"/>
          <w:szCs w:val="32"/>
        </w:rPr>
        <w:t>.</w:t>
      </w:r>
      <w:r>
        <w:rPr>
          <w:rFonts w:ascii="仿宋_GB2312" w:eastAsia="仿宋_GB2312"/>
          <w:sz w:val="32"/>
          <w:szCs w:val="32"/>
        </w:rPr>
        <w:t>28</w:t>
      </w:r>
      <w:r>
        <w:rPr>
          <w:rFonts w:ascii="仿宋_GB2312" w:eastAsia="仿宋_GB2312" w:hint="eastAsia"/>
          <w:sz w:val="32"/>
          <w:szCs w:val="32"/>
        </w:rPr>
        <w:t>%</w:t>
      </w:r>
      <w:r>
        <w:rPr>
          <w:rFonts w:ascii="仿宋_GB2312" w:eastAsia="仿宋_GB2312" w:hint="eastAsia"/>
          <w:sz w:val="32"/>
          <w:szCs w:val="32"/>
        </w:rPr>
        <w:t>，任务完成率居全区第一。柳州市人均体育场地面</w:t>
      </w:r>
      <w:r>
        <w:rPr>
          <w:rFonts w:ascii="仿宋_GB2312" w:eastAsia="仿宋_GB2312" w:hint="eastAsia"/>
          <w:sz w:val="32"/>
          <w:szCs w:val="32"/>
        </w:rPr>
        <w:lastRenderedPageBreak/>
        <w:t>积已达</w:t>
      </w:r>
      <w:r>
        <w:rPr>
          <w:rFonts w:ascii="仿宋_GB2312" w:eastAsia="仿宋_GB2312" w:hint="eastAsia"/>
          <w:sz w:val="32"/>
          <w:szCs w:val="32"/>
        </w:rPr>
        <w:t>2.91</w:t>
      </w:r>
      <w:r>
        <w:rPr>
          <w:rFonts w:ascii="仿宋_GB2312" w:eastAsia="仿宋_GB2312" w:hint="eastAsia"/>
          <w:sz w:val="32"/>
          <w:szCs w:val="32"/>
        </w:rPr>
        <w:t>平方米（数据来源：国家体育总局体育场地常态普查系统，</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25</w:t>
      </w:r>
      <w:r>
        <w:rPr>
          <w:rFonts w:ascii="仿宋_GB2312" w:eastAsia="仿宋_GB2312" w:hint="eastAsia"/>
          <w:sz w:val="32"/>
          <w:szCs w:val="32"/>
        </w:rPr>
        <w:t>日统计数据），大幅领先自治区</w:t>
      </w:r>
      <w:r>
        <w:rPr>
          <w:rFonts w:ascii="仿宋_GB2312" w:eastAsia="仿宋_GB2312" w:hint="eastAsia"/>
          <w:sz w:val="32"/>
          <w:szCs w:val="32"/>
        </w:rPr>
        <w:t>1.83</w:t>
      </w:r>
      <w:r>
        <w:rPr>
          <w:rFonts w:ascii="仿宋_GB2312" w:eastAsia="仿宋_GB2312" w:hint="eastAsia"/>
          <w:sz w:val="32"/>
          <w:szCs w:val="32"/>
        </w:rPr>
        <w:t>平方米的目标值以及</w:t>
      </w:r>
      <w:r>
        <w:rPr>
          <w:rFonts w:ascii="仿宋_GB2312" w:eastAsia="仿宋_GB2312" w:hint="eastAsia"/>
          <w:sz w:val="32"/>
          <w:szCs w:val="32"/>
        </w:rPr>
        <w:t>1.963</w:t>
      </w:r>
      <w:r>
        <w:rPr>
          <w:rFonts w:ascii="仿宋_GB2312" w:eastAsia="仿宋_GB2312" w:hint="eastAsia"/>
          <w:sz w:val="32"/>
          <w:szCs w:val="32"/>
        </w:rPr>
        <w:t>平方米的平均值。市区经常参加体育锻炼人数占到常住人口总数的</w:t>
      </w:r>
      <w:r>
        <w:rPr>
          <w:rFonts w:ascii="仿宋_GB2312" w:eastAsia="仿宋_GB2312" w:hint="eastAsia"/>
          <w:sz w:val="32"/>
          <w:szCs w:val="32"/>
        </w:rPr>
        <w:t>44.42%</w:t>
      </w:r>
      <w:r>
        <w:rPr>
          <w:rFonts w:ascii="仿宋_GB2312" w:eastAsia="仿宋_GB2312" w:hint="eastAsia"/>
          <w:sz w:val="32"/>
          <w:szCs w:val="32"/>
        </w:rPr>
        <w:t>，老年健身队伍日益壮大。市属体育场馆均对社会实行分时段免费或低价开放。</w:t>
      </w:r>
    </w:p>
    <w:p w14:paraId="1951930C" w14:textId="77777777" w:rsidR="008A5C83" w:rsidRDefault="00A7141B">
      <w:pPr>
        <w:pStyle w:val="3"/>
        <w:numPr>
          <w:ilvl w:val="0"/>
          <w:numId w:val="0"/>
        </w:numPr>
        <w:spacing w:before="0" w:after="0" w:line="240" w:lineRule="auto"/>
        <w:ind w:left="567"/>
        <w:rPr>
          <w:rFonts w:ascii="仿宋_GB2312" w:eastAsia="仿宋_GB2312"/>
          <w:sz w:val="32"/>
        </w:rPr>
      </w:pPr>
      <w:bookmarkStart w:id="10" w:name="_Toc63006977"/>
      <w:bookmarkStart w:id="11" w:name="_Toc63006291"/>
      <w:r>
        <w:rPr>
          <w:rFonts w:ascii="仿宋_GB2312" w:eastAsia="仿宋_GB2312" w:hint="eastAsia"/>
          <w:sz w:val="32"/>
        </w:rPr>
        <w:t xml:space="preserve"> 3.</w:t>
      </w:r>
      <w:r>
        <w:rPr>
          <w:rFonts w:ascii="仿宋_GB2312" w:eastAsia="仿宋_GB2312" w:hint="eastAsia"/>
          <w:sz w:val="32"/>
        </w:rPr>
        <w:t>竞技体育取得新佳绩</w:t>
      </w:r>
      <w:bookmarkEnd w:id="10"/>
      <w:bookmarkEnd w:id="11"/>
    </w:p>
    <w:p w14:paraId="6982EB41"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“十三五”期间，我市大力发展竞技体育，加强体校建设及管理，鼓励社会力量办体育，竞技体育取得了丰硕成果。在</w:t>
      </w:r>
      <w:r>
        <w:rPr>
          <w:rFonts w:ascii="仿宋_GB2312" w:eastAsia="仿宋_GB2312" w:hint="eastAsia"/>
          <w:sz w:val="32"/>
          <w:szCs w:val="32"/>
        </w:rPr>
        <w:t>2019</w:t>
      </w:r>
      <w:r>
        <w:rPr>
          <w:rFonts w:ascii="仿宋_GB2312" w:eastAsia="仿宋_GB2312" w:hint="eastAsia"/>
          <w:sz w:val="32"/>
          <w:szCs w:val="32"/>
        </w:rPr>
        <w:t>年广西壮族自治区第十四届运动会上，柳州体育代表团发挥出色，共获得竞技类项目</w:t>
      </w:r>
      <w:r>
        <w:rPr>
          <w:rFonts w:ascii="仿宋_GB2312" w:eastAsia="仿宋_GB2312" w:hint="eastAsia"/>
          <w:sz w:val="32"/>
          <w:szCs w:val="32"/>
        </w:rPr>
        <w:t>223.5</w:t>
      </w:r>
      <w:r>
        <w:rPr>
          <w:rFonts w:ascii="仿宋_GB2312" w:eastAsia="仿宋_GB2312" w:hint="eastAsia"/>
          <w:sz w:val="32"/>
          <w:szCs w:val="32"/>
        </w:rPr>
        <w:t>枚金牌、</w:t>
      </w:r>
      <w:r>
        <w:rPr>
          <w:rFonts w:ascii="仿宋_GB2312" w:eastAsia="仿宋_GB2312" w:hint="eastAsia"/>
          <w:sz w:val="32"/>
          <w:szCs w:val="32"/>
        </w:rPr>
        <w:t>111</w:t>
      </w:r>
      <w:r>
        <w:rPr>
          <w:rFonts w:ascii="仿宋_GB2312" w:eastAsia="仿宋_GB2312" w:hint="eastAsia"/>
          <w:sz w:val="32"/>
          <w:szCs w:val="32"/>
        </w:rPr>
        <w:t>枚银牌、</w:t>
      </w:r>
      <w:r>
        <w:rPr>
          <w:rFonts w:ascii="仿宋_GB2312" w:eastAsia="仿宋_GB2312" w:hint="eastAsia"/>
          <w:sz w:val="32"/>
          <w:szCs w:val="32"/>
        </w:rPr>
        <w:t>116</w:t>
      </w:r>
      <w:r>
        <w:rPr>
          <w:rFonts w:ascii="仿宋_GB2312" w:eastAsia="仿宋_GB2312" w:hint="eastAsia"/>
          <w:sz w:val="32"/>
          <w:szCs w:val="32"/>
        </w:rPr>
        <w:t>枚铜牌，破全区记录</w:t>
      </w:r>
      <w:r>
        <w:rPr>
          <w:rFonts w:ascii="仿宋_GB2312" w:eastAsia="仿宋_GB2312" w:hint="eastAsia"/>
          <w:sz w:val="32"/>
          <w:szCs w:val="32"/>
        </w:rPr>
        <w:t>25</w:t>
      </w:r>
      <w:r>
        <w:rPr>
          <w:rFonts w:ascii="仿宋_GB2312" w:eastAsia="仿宋_GB2312" w:hint="eastAsia"/>
          <w:sz w:val="32"/>
          <w:szCs w:val="32"/>
        </w:rPr>
        <w:t>项。金牌数位列全区第一；并获得自治区“竞技体育突出贡献奖”称号。</w:t>
      </w:r>
    </w:p>
    <w:p w14:paraId="5E8809C8" w14:textId="77777777" w:rsidR="008A5C83" w:rsidRDefault="00A7141B">
      <w:pPr>
        <w:spacing w:line="240" w:lineRule="auto"/>
        <w:ind w:firstLine="640"/>
        <w:jc w:val="both"/>
        <w:rPr>
          <w:rFonts w:ascii="仿宋_GB2312" w:eastAsia="仿宋_GB2312"/>
          <w:sz w:val="32"/>
          <w:szCs w:val="32"/>
        </w:rPr>
      </w:pPr>
      <w:r>
        <w:rPr>
          <w:rFonts w:ascii="仿宋_GB2312" w:eastAsia="仿宋_GB2312" w:hint="eastAsia"/>
          <w:sz w:val="32"/>
          <w:szCs w:val="32"/>
        </w:rPr>
        <w:t>在国内和国际赛场上，柳籍运动员也有着优异表现，赛场上争金夺银，为柳州争光。</w:t>
      </w:r>
      <w:r>
        <w:rPr>
          <w:rFonts w:ascii="仿宋_GB2312" w:eastAsia="仿宋_GB2312" w:hint="eastAsia"/>
          <w:sz w:val="32"/>
          <w:szCs w:val="32"/>
        </w:rPr>
        <w:t>2016</w:t>
      </w:r>
      <w:r>
        <w:rPr>
          <w:rFonts w:ascii="仿宋_GB2312" w:eastAsia="仿宋_GB2312" w:hint="eastAsia"/>
          <w:sz w:val="32"/>
          <w:szCs w:val="32"/>
        </w:rPr>
        <w:t>年，我市籍运动员韦永丽获第三十一届奥运会田径女子</w:t>
      </w:r>
      <w:r>
        <w:rPr>
          <w:rFonts w:ascii="仿宋_GB2312" w:eastAsia="仿宋_GB2312" w:hint="eastAsia"/>
          <w:sz w:val="32"/>
          <w:szCs w:val="32"/>
        </w:rPr>
        <w:t>100</w:t>
      </w:r>
      <w:r>
        <w:rPr>
          <w:rFonts w:ascii="仿宋_GB2312" w:eastAsia="仿宋_GB2312" w:hint="eastAsia"/>
          <w:sz w:val="32"/>
          <w:szCs w:val="32"/>
        </w:rPr>
        <w:t>米、女子</w:t>
      </w:r>
      <w:r>
        <w:rPr>
          <w:rFonts w:ascii="仿宋_GB2312" w:eastAsia="仿宋_GB2312" w:hint="eastAsia"/>
          <w:sz w:val="32"/>
          <w:szCs w:val="32"/>
        </w:rPr>
        <w:t>4*100</w:t>
      </w:r>
      <w:r>
        <w:rPr>
          <w:rFonts w:ascii="仿宋_GB2312" w:eastAsia="仿宋_GB2312" w:hint="eastAsia"/>
          <w:sz w:val="32"/>
          <w:szCs w:val="32"/>
        </w:rPr>
        <w:t>米接力参赛资格，受到自治区体育局表彰。</w:t>
      </w:r>
      <w:r>
        <w:rPr>
          <w:rFonts w:ascii="仿宋_GB2312" w:eastAsia="仿宋_GB2312" w:hint="eastAsia"/>
          <w:sz w:val="32"/>
          <w:szCs w:val="32"/>
        </w:rPr>
        <w:t>2017</w:t>
      </w:r>
      <w:r>
        <w:rPr>
          <w:rFonts w:ascii="仿宋_GB2312" w:eastAsia="仿宋_GB2312" w:hint="eastAsia"/>
          <w:sz w:val="32"/>
          <w:szCs w:val="32"/>
        </w:rPr>
        <w:t>年，韦永丽夺得第</w:t>
      </w:r>
      <w:r>
        <w:rPr>
          <w:rFonts w:ascii="仿宋_GB2312" w:eastAsia="仿宋_GB2312" w:hint="eastAsia"/>
          <w:sz w:val="32"/>
          <w:szCs w:val="32"/>
        </w:rPr>
        <w:t>13</w:t>
      </w:r>
      <w:r>
        <w:rPr>
          <w:rFonts w:ascii="仿宋_GB2312" w:eastAsia="仿宋_GB2312" w:hint="eastAsia"/>
          <w:sz w:val="32"/>
          <w:szCs w:val="32"/>
        </w:rPr>
        <w:lastRenderedPageBreak/>
        <w:t>届全运会</w:t>
      </w:r>
      <w:r>
        <w:rPr>
          <w:rFonts w:ascii="仿宋_GB2312" w:eastAsia="仿宋_GB2312" w:hint="eastAsia"/>
          <w:sz w:val="32"/>
          <w:szCs w:val="32"/>
        </w:rPr>
        <w:t>100</w:t>
      </w:r>
      <w:r>
        <w:rPr>
          <w:rFonts w:ascii="仿宋_GB2312" w:eastAsia="仿宋_GB2312" w:hint="eastAsia"/>
          <w:sz w:val="32"/>
          <w:szCs w:val="32"/>
        </w:rPr>
        <w:t>米冠军；运动员杨立峰夺得第</w:t>
      </w:r>
      <w:r>
        <w:rPr>
          <w:rFonts w:ascii="仿宋_GB2312" w:eastAsia="仿宋_GB2312" w:hint="eastAsia"/>
          <w:sz w:val="32"/>
          <w:szCs w:val="32"/>
        </w:rPr>
        <w:t>13</w:t>
      </w:r>
      <w:r>
        <w:rPr>
          <w:rFonts w:ascii="仿宋_GB2312" w:eastAsia="仿宋_GB2312" w:hint="eastAsia"/>
          <w:sz w:val="32"/>
          <w:szCs w:val="32"/>
        </w:rPr>
        <w:t>届全运会航海模型赛冠军；蹼泳运动员舒静程夺得世界杯赛</w:t>
      </w:r>
      <w:r>
        <w:rPr>
          <w:rFonts w:ascii="仿宋_GB2312" w:eastAsia="仿宋_GB2312" w:hint="eastAsia"/>
          <w:sz w:val="32"/>
          <w:szCs w:val="32"/>
        </w:rPr>
        <w:t>10</w:t>
      </w:r>
      <w:r>
        <w:rPr>
          <w:rFonts w:ascii="仿宋_GB2312" w:eastAsia="仿宋_GB2312" w:hint="eastAsia"/>
          <w:sz w:val="32"/>
          <w:szCs w:val="32"/>
        </w:rPr>
        <w:t>项冠军，亚洲锦标赛</w:t>
      </w:r>
      <w:r>
        <w:rPr>
          <w:rFonts w:ascii="仿宋_GB2312" w:eastAsia="仿宋_GB2312" w:hint="eastAsia"/>
          <w:sz w:val="32"/>
          <w:szCs w:val="32"/>
        </w:rPr>
        <w:t>5</w:t>
      </w:r>
      <w:r>
        <w:rPr>
          <w:rFonts w:ascii="仿宋_GB2312" w:eastAsia="仿宋_GB2312" w:hint="eastAsia"/>
          <w:sz w:val="32"/>
          <w:szCs w:val="32"/>
        </w:rPr>
        <w:t>项冠军；体操运动员兰星宇获全国体操冠军赛吊环冠军；体操运动员肖金雨、黄靖怡获得蹦床世锦赛冠军。</w:t>
      </w:r>
      <w:r>
        <w:rPr>
          <w:rFonts w:ascii="仿宋_GB2312" w:eastAsia="仿宋_GB2312" w:hint="eastAsia"/>
          <w:sz w:val="32"/>
          <w:szCs w:val="32"/>
        </w:rPr>
        <w:t>2018</w:t>
      </w:r>
      <w:r>
        <w:rPr>
          <w:rFonts w:ascii="仿宋_GB2312" w:eastAsia="仿宋_GB2312" w:hint="eastAsia"/>
          <w:sz w:val="32"/>
          <w:szCs w:val="32"/>
        </w:rPr>
        <w:t>年，我市籍蹼泳运动员舒静程一人独揽世锦赛、世界杯</w:t>
      </w:r>
      <w:r>
        <w:rPr>
          <w:rFonts w:ascii="仿宋_GB2312" w:eastAsia="仿宋_GB2312" w:hint="eastAsia"/>
          <w:sz w:val="32"/>
          <w:szCs w:val="32"/>
        </w:rPr>
        <w:t>8</w:t>
      </w:r>
      <w:r>
        <w:rPr>
          <w:rFonts w:ascii="仿宋_GB2312" w:eastAsia="仿宋_GB2312" w:hint="eastAsia"/>
          <w:sz w:val="32"/>
          <w:szCs w:val="32"/>
        </w:rPr>
        <w:t>金</w:t>
      </w:r>
      <w:r>
        <w:rPr>
          <w:rFonts w:ascii="仿宋_GB2312" w:eastAsia="仿宋_GB2312" w:hint="eastAsia"/>
          <w:sz w:val="32"/>
          <w:szCs w:val="32"/>
        </w:rPr>
        <w:t>1</w:t>
      </w:r>
      <w:r>
        <w:rPr>
          <w:rFonts w:ascii="仿宋_GB2312" w:eastAsia="仿宋_GB2312" w:hint="eastAsia"/>
          <w:sz w:val="32"/>
          <w:szCs w:val="32"/>
        </w:rPr>
        <w:t>银，破一项亚洲记录；体操运动员兰星宇获得世锦赛男子团体冠军；韦永丽在国际田联大奖赛上夺得百米冠军；</w:t>
      </w:r>
      <w:proofErr w:type="gramStart"/>
      <w:r>
        <w:rPr>
          <w:rFonts w:ascii="仿宋_GB2312" w:eastAsia="仿宋_GB2312" w:hint="eastAsia"/>
          <w:sz w:val="32"/>
          <w:szCs w:val="32"/>
        </w:rPr>
        <w:t>胡旭威获</w:t>
      </w:r>
      <w:proofErr w:type="gramEnd"/>
      <w:r>
        <w:rPr>
          <w:rFonts w:ascii="仿宋_GB2312" w:eastAsia="仿宋_GB2312" w:hint="eastAsia"/>
          <w:sz w:val="32"/>
          <w:szCs w:val="32"/>
        </w:rPr>
        <w:t>国际体操双杠冠军；巫荣华获国际水上摩托艇赛冠军、年度世界杯总冠军；</w:t>
      </w:r>
      <w:proofErr w:type="gramStart"/>
      <w:r>
        <w:rPr>
          <w:rFonts w:ascii="仿宋_GB2312" w:eastAsia="仿宋_GB2312" w:hint="eastAsia"/>
          <w:sz w:val="32"/>
          <w:szCs w:val="32"/>
        </w:rPr>
        <w:t>陈宇曦夺得</w:t>
      </w:r>
      <w:proofErr w:type="gramEnd"/>
      <w:r>
        <w:rPr>
          <w:rFonts w:ascii="仿宋_GB2312" w:eastAsia="仿宋_GB2312" w:hint="eastAsia"/>
          <w:sz w:val="32"/>
          <w:szCs w:val="32"/>
        </w:rPr>
        <w:t>全国飞碟冠军杯冠军；柳州</w:t>
      </w:r>
      <w:r>
        <w:rPr>
          <w:rFonts w:ascii="仿宋_GB2312" w:eastAsia="仿宋_GB2312" w:hint="eastAsia"/>
          <w:sz w:val="32"/>
          <w:szCs w:val="32"/>
        </w:rPr>
        <w:t>14</w:t>
      </w:r>
      <w:r>
        <w:rPr>
          <w:rFonts w:ascii="仿宋_GB2312" w:eastAsia="仿宋_GB2312" w:hint="eastAsia"/>
          <w:sz w:val="32"/>
          <w:szCs w:val="32"/>
        </w:rPr>
        <w:t>名跨界运动员、</w:t>
      </w:r>
      <w:r>
        <w:rPr>
          <w:rFonts w:ascii="仿宋_GB2312" w:eastAsia="仿宋_GB2312" w:hint="eastAsia"/>
          <w:sz w:val="32"/>
          <w:szCs w:val="32"/>
        </w:rPr>
        <w:t>1</w:t>
      </w:r>
      <w:r>
        <w:rPr>
          <w:rFonts w:ascii="仿宋_GB2312" w:eastAsia="仿宋_GB2312" w:hint="eastAsia"/>
          <w:sz w:val="32"/>
          <w:szCs w:val="32"/>
        </w:rPr>
        <w:t>名教练员跨界冬奥会项目进入国家队（获得世界大赛冠军</w:t>
      </w:r>
      <w:r>
        <w:rPr>
          <w:rFonts w:ascii="仿宋_GB2312" w:eastAsia="仿宋_GB2312" w:hint="eastAsia"/>
          <w:sz w:val="32"/>
          <w:szCs w:val="32"/>
        </w:rPr>
        <w:t>13</w:t>
      </w:r>
      <w:r>
        <w:rPr>
          <w:rFonts w:ascii="仿宋_GB2312" w:eastAsia="仿宋_GB2312" w:hint="eastAsia"/>
          <w:sz w:val="32"/>
          <w:szCs w:val="32"/>
        </w:rPr>
        <w:t>项）。</w:t>
      </w:r>
      <w:r>
        <w:rPr>
          <w:rFonts w:ascii="仿宋_GB2312" w:eastAsia="仿宋_GB2312" w:hint="eastAsia"/>
          <w:sz w:val="32"/>
          <w:szCs w:val="32"/>
        </w:rPr>
        <w:t>2019</w:t>
      </w:r>
      <w:r>
        <w:rPr>
          <w:rFonts w:ascii="仿宋_GB2312" w:eastAsia="仿宋_GB2312" w:hint="eastAsia"/>
          <w:sz w:val="32"/>
          <w:szCs w:val="32"/>
        </w:rPr>
        <w:t>年，柳州健儿共夺得世界冠军</w:t>
      </w:r>
      <w:r>
        <w:rPr>
          <w:rFonts w:ascii="仿宋_GB2312" w:eastAsia="仿宋_GB2312" w:hint="eastAsia"/>
          <w:sz w:val="32"/>
          <w:szCs w:val="32"/>
        </w:rPr>
        <w:t>27</w:t>
      </w:r>
      <w:r>
        <w:rPr>
          <w:rFonts w:ascii="仿宋_GB2312" w:eastAsia="仿宋_GB2312" w:hint="eastAsia"/>
          <w:sz w:val="32"/>
          <w:szCs w:val="32"/>
        </w:rPr>
        <w:t>项，全国冠军</w:t>
      </w:r>
      <w:r>
        <w:rPr>
          <w:rFonts w:ascii="仿宋_GB2312" w:eastAsia="仿宋_GB2312" w:hint="eastAsia"/>
          <w:sz w:val="32"/>
          <w:szCs w:val="32"/>
        </w:rPr>
        <w:t>54</w:t>
      </w:r>
      <w:r>
        <w:rPr>
          <w:rFonts w:ascii="仿宋_GB2312" w:eastAsia="仿宋_GB2312" w:hint="eastAsia"/>
          <w:sz w:val="32"/>
          <w:szCs w:val="32"/>
        </w:rPr>
        <w:t>项，破亚洲记录</w:t>
      </w:r>
      <w:r>
        <w:rPr>
          <w:rFonts w:ascii="仿宋_GB2312" w:eastAsia="仿宋_GB2312" w:hint="eastAsia"/>
          <w:sz w:val="32"/>
          <w:szCs w:val="32"/>
        </w:rPr>
        <w:t>2</w:t>
      </w:r>
      <w:r>
        <w:rPr>
          <w:rFonts w:ascii="仿宋_GB2312" w:eastAsia="仿宋_GB2312" w:hint="eastAsia"/>
          <w:sz w:val="32"/>
          <w:szCs w:val="32"/>
        </w:rPr>
        <w:t>项，破全国记录</w:t>
      </w:r>
      <w:r>
        <w:rPr>
          <w:rFonts w:ascii="仿宋_GB2312" w:eastAsia="仿宋_GB2312" w:hint="eastAsia"/>
          <w:sz w:val="32"/>
          <w:szCs w:val="32"/>
        </w:rPr>
        <w:t>12</w:t>
      </w:r>
      <w:r>
        <w:rPr>
          <w:rFonts w:ascii="仿宋_GB2312" w:eastAsia="仿宋_GB2312" w:hint="eastAsia"/>
          <w:sz w:val="32"/>
          <w:szCs w:val="32"/>
        </w:rPr>
        <w:t>项。表现突出的为：韦永丽领衔的中国女子接力队在多哈田径亚锦赛上，以</w:t>
      </w:r>
      <w:r>
        <w:rPr>
          <w:rFonts w:ascii="仿宋_GB2312" w:eastAsia="仿宋_GB2312" w:hint="eastAsia"/>
          <w:sz w:val="32"/>
          <w:szCs w:val="32"/>
        </w:rPr>
        <w:t>42</w:t>
      </w:r>
      <w:r>
        <w:rPr>
          <w:rFonts w:ascii="仿宋_GB2312" w:eastAsia="仿宋_GB2312" w:hint="eastAsia"/>
          <w:sz w:val="32"/>
          <w:szCs w:val="32"/>
        </w:rPr>
        <w:t>秒</w:t>
      </w:r>
      <w:r>
        <w:rPr>
          <w:rFonts w:ascii="仿宋_GB2312" w:eastAsia="仿宋_GB2312" w:hint="eastAsia"/>
          <w:sz w:val="32"/>
          <w:szCs w:val="32"/>
        </w:rPr>
        <w:t>87</w:t>
      </w:r>
      <w:r>
        <w:rPr>
          <w:rFonts w:ascii="仿宋_GB2312" w:eastAsia="仿宋_GB2312" w:hint="eastAsia"/>
          <w:sz w:val="32"/>
          <w:szCs w:val="32"/>
        </w:rPr>
        <w:t>夺得金牌，创赛季世界最好成绩；兰星宇获得第</w:t>
      </w:r>
      <w:r>
        <w:rPr>
          <w:rFonts w:ascii="仿宋_GB2312" w:eastAsia="仿宋_GB2312" w:hint="eastAsia"/>
          <w:sz w:val="32"/>
          <w:szCs w:val="32"/>
        </w:rPr>
        <w:t>28</w:t>
      </w:r>
      <w:r>
        <w:rPr>
          <w:rFonts w:ascii="仿宋_GB2312" w:eastAsia="仿宋_GB2312" w:hint="eastAsia"/>
          <w:sz w:val="32"/>
          <w:szCs w:val="32"/>
        </w:rPr>
        <w:t>届体操世锦赛男子团体冠军，提前获得</w:t>
      </w:r>
      <w:r>
        <w:rPr>
          <w:rFonts w:ascii="仿宋_GB2312" w:eastAsia="仿宋_GB2312" w:hint="eastAsia"/>
          <w:sz w:val="32"/>
          <w:szCs w:val="32"/>
        </w:rPr>
        <w:t xml:space="preserve"> 2020</w:t>
      </w:r>
      <w:r>
        <w:rPr>
          <w:rFonts w:ascii="仿宋_GB2312" w:eastAsia="仿宋_GB2312" w:hint="eastAsia"/>
          <w:sz w:val="32"/>
          <w:szCs w:val="32"/>
        </w:rPr>
        <w:t>年东京奥运会团体决赛资格，并在</w:t>
      </w:r>
      <w:r>
        <w:rPr>
          <w:rFonts w:ascii="仿宋_GB2312" w:eastAsia="仿宋_GB2312" w:hint="eastAsia"/>
          <w:sz w:val="32"/>
          <w:szCs w:val="32"/>
        </w:rPr>
        <w:t xml:space="preserve"> 2019 </w:t>
      </w:r>
      <w:r>
        <w:rPr>
          <w:rFonts w:ascii="仿宋_GB2312" w:eastAsia="仿宋_GB2312" w:hint="eastAsia"/>
          <w:sz w:val="32"/>
          <w:szCs w:val="32"/>
        </w:rPr>
        <w:t>年体操世界杯卡塔尔分</w:t>
      </w:r>
      <w:r>
        <w:rPr>
          <w:rFonts w:ascii="仿宋_GB2312" w:eastAsia="仿宋_GB2312" w:hint="eastAsia"/>
          <w:sz w:val="32"/>
          <w:szCs w:val="32"/>
        </w:rPr>
        <w:t>站赛上勇夺吊环冠军；</w:t>
      </w:r>
      <w:proofErr w:type="gramStart"/>
      <w:r>
        <w:rPr>
          <w:rFonts w:ascii="仿宋_GB2312" w:eastAsia="仿宋_GB2312" w:hint="eastAsia"/>
          <w:sz w:val="32"/>
          <w:szCs w:val="32"/>
        </w:rPr>
        <w:t>舒程静在璞泳</w:t>
      </w:r>
      <w:proofErr w:type="gramEnd"/>
      <w:r>
        <w:rPr>
          <w:rFonts w:ascii="仿宋_GB2312" w:eastAsia="仿宋_GB2312" w:hint="eastAsia"/>
          <w:sz w:val="32"/>
          <w:szCs w:val="32"/>
        </w:rPr>
        <w:t>世界杯比赛</w:t>
      </w:r>
      <w:proofErr w:type="gramStart"/>
      <w:r>
        <w:rPr>
          <w:rFonts w:ascii="仿宋_GB2312" w:eastAsia="仿宋_GB2312" w:hint="eastAsia"/>
          <w:sz w:val="32"/>
          <w:szCs w:val="32"/>
        </w:rPr>
        <w:t>中</w:t>
      </w:r>
      <w:r>
        <w:rPr>
          <w:rFonts w:ascii="仿宋_GB2312" w:eastAsia="仿宋_GB2312" w:hint="eastAsia"/>
          <w:sz w:val="32"/>
          <w:szCs w:val="32"/>
        </w:rPr>
        <w:lastRenderedPageBreak/>
        <w:t>狂揽</w:t>
      </w:r>
      <w:proofErr w:type="gramEnd"/>
      <w:r>
        <w:rPr>
          <w:rFonts w:ascii="仿宋_GB2312" w:eastAsia="仿宋_GB2312" w:hint="eastAsia"/>
          <w:sz w:val="32"/>
          <w:szCs w:val="32"/>
        </w:rPr>
        <w:t>10</w:t>
      </w:r>
      <w:r>
        <w:rPr>
          <w:rFonts w:ascii="仿宋_GB2312" w:eastAsia="仿宋_GB2312" w:hint="eastAsia"/>
          <w:sz w:val="32"/>
          <w:szCs w:val="32"/>
        </w:rPr>
        <w:t>金，并在第十八届</w:t>
      </w:r>
      <w:proofErr w:type="gramStart"/>
      <w:r>
        <w:rPr>
          <w:rFonts w:ascii="仿宋_GB2312" w:eastAsia="仿宋_GB2312" w:hint="eastAsia"/>
          <w:sz w:val="32"/>
          <w:szCs w:val="32"/>
        </w:rPr>
        <w:t>世界璞泳锦标赛</w:t>
      </w:r>
      <w:proofErr w:type="gramEnd"/>
      <w:r>
        <w:rPr>
          <w:rFonts w:ascii="仿宋_GB2312" w:eastAsia="仿宋_GB2312" w:hint="eastAsia"/>
          <w:sz w:val="32"/>
          <w:szCs w:val="32"/>
        </w:rPr>
        <w:t>上携队友获得</w:t>
      </w:r>
      <w:r>
        <w:rPr>
          <w:rFonts w:ascii="仿宋_GB2312" w:eastAsia="仿宋_GB2312" w:hint="eastAsia"/>
          <w:sz w:val="32"/>
          <w:szCs w:val="32"/>
        </w:rPr>
        <w:t>4*100</w:t>
      </w:r>
      <w:r>
        <w:rPr>
          <w:rFonts w:ascii="仿宋_GB2312" w:eastAsia="仿宋_GB2312" w:hint="eastAsia"/>
          <w:sz w:val="32"/>
          <w:szCs w:val="32"/>
        </w:rPr>
        <w:t>米亚军并打破世界纪录；柳州妹莫芷欣在技巧世界杯上获得女子双人冠军；</w:t>
      </w:r>
      <w:proofErr w:type="gramStart"/>
      <w:r>
        <w:rPr>
          <w:rFonts w:ascii="仿宋_GB2312" w:eastAsia="仿宋_GB2312" w:hint="eastAsia"/>
          <w:sz w:val="32"/>
          <w:szCs w:val="32"/>
        </w:rPr>
        <w:t>贺斯在</w:t>
      </w:r>
      <w:proofErr w:type="gramEnd"/>
      <w:r>
        <w:rPr>
          <w:rFonts w:ascii="仿宋_GB2312" w:eastAsia="仿宋_GB2312" w:hint="eastAsia"/>
          <w:sz w:val="32"/>
          <w:szCs w:val="32"/>
        </w:rPr>
        <w:t>江西九江举行的</w:t>
      </w:r>
      <w:r>
        <w:rPr>
          <w:rFonts w:ascii="仿宋_GB2312" w:eastAsia="仿宋_GB2312" w:hint="eastAsia"/>
          <w:sz w:val="32"/>
          <w:szCs w:val="32"/>
        </w:rPr>
        <w:t xml:space="preserve"> 2019 </w:t>
      </w:r>
      <w:r>
        <w:rPr>
          <w:rFonts w:ascii="仿宋_GB2312" w:eastAsia="仿宋_GB2312" w:hint="eastAsia"/>
          <w:sz w:val="32"/>
          <w:szCs w:val="32"/>
        </w:rPr>
        <w:t>年全国女子青年举重锦标赛上勇夺</w:t>
      </w:r>
      <w:r>
        <w:rPr>
          <w:rFonts w:ascii="仿宋_GB2312" w:eastAsia="仿宋_GB2312" w:hint="eastAsia"/>
          <w:sz w:val="32"/>
          <w:szCs w:val="32"/>
        </w:rPr>
        <w:t>49</w:t>
      </w:r>
      <w:r>
        <w:rPr>
          <w:rFonts w:ascii="仿宋_GB2312" w:eastAsia="仿宋_GB2312" w:hint="eastAsia"/>
          <w:sz w:val="32"/>
          <w:szCs w:val="32"/>
        </w:rPr>
        <w:t>公斤级</w:t>
      </w:r>
      <w:r>
        <w:rPr>
          <w:rFonts w:ascii="仿宋_GB2312" w:eastAsia="仿宋_GB2312" w:hint="eastAsia"/>
          <w:sz w:val="32"/>
          <w:szCs w:val="32"/>
        </w:rPr>
        <w:t>2</w:t>
      </w:r>
      <w:r>
        <w:rPr>
          <w:rFonts w:ascii="仿宋_GB2312" w:eastAsia="仿宋_GB2312" w:hint="eastAsia"/>
          <w:sz w:val="32"/>
          <w:szCs w:val="32"/>
        </w:rPr>
        <w:t>金</w:t>
      </w:r>
      <w:r>
        <w:rPr>
          <w:rFonts w:ascii="仿宋_GB2312" w:eastAsia="仿宋_GB2312" w:hint="eastAsia"/>
          <w:sz w:val="32"/>
          <w:szCs w:val="32"/>
        </w:rPr>
        <w:t>1</w:t>
      </w:r>
      <w:r>
        <w:rPr>
          <w:rFonts w:ascii="仿宋_GB2312" w:eastAsia="仿宋_GB2312" w:hint="eastAsia"/>
          <w:sz w:val="32"/>
          <w:szCs w:val="32"/>
        </w:rPr>
        <w:t>铜的好成绩；柳州籍射击运动员陈宇曦在</w:t>
      </w:r>
      <w:r>
        <w:rPr>
          <w:rFonts w:ascii="仿宋_GB2312" w:eastAsia="仿宋_GB2312" w:hint="eastAsia"/>
          <w:sz w:val="32"/>
          <w:szCs w:val="32"/>
        </w:rPr>
        <w:t xml:space="preserve"> 2019 </w:t>
      </w:r>
      <w:r>
        <w:rPr>
          <w:rFonts w:ascii="仿宋_GB2312" w:eastAsia="仿宋_GB2312" w:hint="eastAsia"/>
          <w:sz w:val="32"/>
          <w:szCs w:val="32"/>
        </w:rPr>
        <w:t>年全国射击冠军赛暨青年世界杯第三场选拔赛上，实现飞碟男子多向项目二连冠；以柳州健儿组成的花炮队代表广西参加全国第九届少数民族运动会夺得冠军，实现广西最好成绩，为柳州、为国家争得了荣誉。</w:t>
      </w:r>
      <w:r>
        <w:rPr>
          <w:rFonts w:ascii="仿宋_GB2312" w:eastAsia="仿宋_GB2312" w:hint="eastAsia"/>
          <w:sz w:val="32"/>
          <w:szCs w:val="32"/>
        </w:rPr>
        <w:t>2020</w:t>
      </w:r>
      <w:r>
        <w:rPr>
          <w:rFonts w:ascii="仿宋_GB2312" w:eastAsia="仿宋_GB2312" w:hint="eastAsia"/>
          <w:sz w:val="32"/>
          <w:szCs w:val="32"/>
        </w:rPr>
        <w:t>年在疫情影响下柳州健儿仍夺得世界亚军</w:t>
      </w:r>
      <w:r>
        <w:rPr>
          <w:rFonts w:ascii="仿宋_GB2312" w:eastAsia="仿宋_GB2312" w:hint="eastAsia"/>
          <w:sz w:val="32"/>
          <w:szCs w:val="32"/>
        </w:rPr>
        <w:t>1</w:t>
      </w:r>
      <w:r>
        <w:rPr>
          <w:rFonts w:ascii="仿宋_GB2312" w:eastAsia="仿宋_GB2312" w:hint="eastAsia"/>
          <w:sz w:val="32"/>
          <w:szCs w:val="32"/>
        </w:rPr>
        <w:t>项，全国冠军</w:t>
      </w:r>
      <w:r>
        <w:rPr>
          <w:rFonts w:ascii="仿宋_GB2312" w:eastAsia="仿宋_GB2312" w:hint="eastAsia"/>
          <w:sz w:val="32"/>
          <w:szCs w:val="32"/>
        </w:rPr>
        <w:t>41</w:t>
      </w:r>
      <w:r>
        <w:rPr>
          <w:rFonts w:ascii="仿宋_GB2312" w:eastAsia="仿宋_GB2312" w:hint="eastAsia"/>
          <w:sz w:val="32"/>
          <w:szCs w:val="32"/>
        </w:rPr>
        <w:t>项，自治区冠军</w:t>
      </w:r>
      <w:r>
        <w:rPr>
          <w:rFonts w:ascii="仿宋_GB2312" w:eastAsia="仿宋_GB2312" w:hint="eastAsia"/>
          <w:sz w:val="32"/>
          <w:szCs w:val="32"/>
        </w:rPr>
        <w:t>204</w:t>
      </w:r>
      <w:r>
        <w:rPr>
          <w:rFonts w:ascii="仿宋_GB2312" w:eastAsia="仿宋_GB2312" w:hint="eastAsia"/>
          <w:sz w:val="32"/>
          <w:szCs w:val="32"/>
        </w:rPr>
        <w:t>项。</w:t>
      </w:r>
    </w:p>
    <w:p w14:paraId="23EC3073" w14:textId="77777777" w:rsidR="008A5C83" w:rsidRDefault="00A7141B">
      <w:pPr>
        <w:pStyle w:val="3"/>
        <w:numPr>
          <w:ilvl w:val="0"/>
          <w:numId w:val="0"/>
        </w:numPr>
        <w:spacing w:before="0" w:after="0" w:line="240" w:lineRule="auto"/>
        <w:ind w:left="567"/>
        <w:rPr>
          <w:rFonts w:ascii="仿宋_GB2312" w:eastAsia="仿宋_GB2312"/>
          <w:sz w:val="32"/>
        </w:rPr>
      </w:pPr>
      <w:bookmarkStart w:id="12" w:name="_Toc63006292"/>
      <w:bookmarkStart w:id="13" w:name="_Toc63006978"/>
      <w:r>
        <w:rPr>
          <w:rFonts w:ascii="仿宋_GB2312" w:eastAsia="仿宋_GB2312" w:hint="eastAsia"/>
          <w:sz w:val="32"/>
        </w:rPr>
        <w:t xml:space="preserve"> 4.</w:t>
      </w:r>
      <w:r>
        <w:rPr>
          <w:rFonts w:ascii="仿宋_GB2312" w:eastAsia="仿宋_GB2312" w:hint="eastAsia"/>
          <w:sz w:val="32"/>
        </w:rPr>
        <w:t>体育后备人才源源不断输出</w:t>
      </w:r>
      <w:bookmarkEnd w:id="12"/>
      <w:bookmarkEnd w:id="13"/>
    </w:p>
    <w:p w14:paraId="370B69BE"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以落实“双百计划”为抓手，加强体校与学校共建，为体育后备人才教育就学提供保障。每年柳州市向自治区</w:t>
      </w:r>
      <w:proofErr w:type="gramStart"/>
      <w:r>
        <w:rPr>
          <w:rFonts w:ascii="仿宋_GB2312" w:eastAsia="仿宋_GB2312" w:hint="eastAsia"/>
          <w:sz w:val="32"/>
          <w:szCs w:val="32"/>
        </w:rPr>
        <w:t>级训练</w:t>
      </w:r>
      <w:proofErr w:type="gramEnd"/>
      <w:r>
        <w:rPr>
          <w:rFonts w:ascii="仿宋_GB2312" w:eastAsia="仿宋_GB2312" w:hint="eastAsia"/>
          <w:sz w:val="32"/>
          <w:szCs w:val="32"/>
        </w:rPr>
        <w:t>单位输送优秀体育人才近百人。我市精心组织北京冬奥会</w:t>
      </w:r>
      <w:proofErr w:type="gramStart"/>
      <w:r>
        <w:rPr>
          <w:rFonts w:ascii="仿宋_GB2312" w:eastAsia="仿宋_GB2312" w:hint="eastAsia"/>
          <w:sz w:val="32"/>
          <w:szCs w:val="32"/>
        </w:rPr>
        <w:t>跨界跨项跨季</w:t>
      </w:r>
      <w:proofErr w:type="gramEnd"/>
      <w:r>
        <w:rPr>
          <w:rFonts w:ascii="仿宋_GB2312" w:eastAsia="仿宋_GB2312" w:hint="eastAsia"/>
          <w:sz w:val="32"/>
          <w:szCs w:val="32"/>
        </w:rPr>
        <w:t>选材工作，</w:t>
      </w:r>
      <w:r>
        <w:rPr>
          <w:rFonts w:ascii="仿宋_GB2312" w:eastAsia="仿宋_GB2312" w:hint="eastAsia"/>
          <w:sz w:val="32"/>
          <w:szCs w:val="32"/>
        </w:rPr>
        <w:t>14</w:t>
      </w:r>
      <w:r>
        <w:rPr>
          <w:rFonts w:ascii="仿宋_GB2312" w:eastAsia="仿宋_GB2312" w:hint="eastAsia"/>
          <w:sz w:val="32"/>
          <w:szCs w:val="32"/>
        </w:rPr>
        <w:t>人获得集训资格，进入国家集训队大名单。柳州市业余体校、柳州市第二业余体校、柳州市体操学校、广西柳江区青少年业余体校、鹿寨</w:t>
      </w:r>
      <w:r>
        <w:rPr>
          <w:rFonts w:ascii="仿宋_GB2312" w:eastAsia="仿宋_GB2312" w:hint="eastAsia"/>
          <w:sz w:val="32"/>
          <w:szCs w:val="32"/>
        </w:rPr>
        <w:lastRenderedPageBreak/>
        <w:t>县业余体校获“广西壮族自治区体育后备人才基地”称号。</w:t>
      </w:r>
    </w:p>
    <w:p w14:paraId="4BE4802E" w14:textId="77777777" w:rsidR="008A5C83" w:rsidRDefault="00A7141B">
      <w:pPr>
        <w:pStyle w:val="3"/>
        <w:numPr>
          <w:ilvl w:val="0"/>
          <w:numId w:val="0"/>
        </w:numPr>
        <w:spacing w:before="0" w:after="0" w:line="240" w:lineRule="auto"/>
        <w:ind w:left="567"/>
        <w:rPr>
          <w:rFonts w:ascii="仿宋_GB2312" w:eastAsia="仿宋_GB2312"/>
          <w:sz w:val="32"/>
        </w:rPr>
      </w:pPr>
      <w:bookmarkStart w:id="14" w:name="_Toc63006979"/>
      <w:bookmarkStart w:id="15" w:name="_Toc63006293"/>
      <w:r>
        <w:rPr>
          <w:rFonts w:ascii="仿宋_GB2312" w:eastAsia="仿宋_GB2312" w:hint="eastAsia"/>
          <w:sz w:val="32"/>
        </w:rPr>
        <w:t>5.</w:t>
      </w:r>
      <w:r>
        <w:rPr>
          <w:rFonts w:ascii="仿宋_GB2312" w:eastAsia="仿宋_GB2312" w:hint="eastAsia"/>
          <w:sz w:val="32"/>
        </w:rPr>
        <w:t>体育产业稳步发展</w:t>
      </w:r>
      <w:bookmarkEnd w:id="14"/>
      <w:bookmarkEnd w:id="15"/>
    </w:p>
    <w:p w14:paraId="18163C9B"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积极扩大体育产品和服务供给，推动体育产业成为我市经济转型升级的重要力量。通过大力吸引社会投资，加大体育设施建设投入、政府购买服务等方式支持群众健身；优化市场环境，加强体育品牌建设</w:t>
      </w:r>
      <w:r>
        <w:rPr>
          <w:rFonts w:ascii="仿宋_GB2312" w:eastAsia="仿宋_GB2312" w:hint="eastAsia"/>
          <w:sz w:val="32"/>
          <w:szCs w:val="32"/>
        </w:rPr>
        <w:t>,</w:t>
      </w:r>
      <w:r>
        <w:rPr>
          <w:rFonts w:ascii="仿宋_GB2312" w:eastAsia="仿宋_GB2312" w:hint="eastAsia"/>
          <w:sz w:val="32"/>
          <w:szCs w:val="32"/>
        </w:rPr>
        <w:t>为体育事业发展提供市场动力。市体育局先后与柳州银行、北部湾保险柳州分公司签订战略合作协议</w:t>
      </w:r>
      <w:r>
        <w:rPr>
          <w:rFonts w:ascii="仿宋_GB2312" w:eastAsia="仿宋_GB2312" w:hint="eastAsia"/>
          <w:sz w:val="32"/>
          <w:szCs w:val="32"/>
        </w:rPr>
        <w:t>,</w:t>
      </w:r>
      <w:r>
        <w:rPr>
          <w:rFonts w:ascii="仿宋_GB2312" w:eastAsia="仿宋_GB2312" w:hint="eastAsia"/>
          <w:sz w:val="32"/>
          <w:szCs w:val="32"/>
        </w:rPr>
        <w:t>为体育事业发展争取更好的金融支持和服务。</w:t>
      </w:r>
      <w:r>
        <w:rPr>
          <w:rFonts w:ascii="仿宋_GB2312" w:eastAsia="仿宋_GB2312" w:hint="eastAsia"/>
          <w:sz w:val="32"/>
          <w:szCs w:val="32"/>
        </w:rPr>
        <w:t xml:space="preserve"> </w:t>
      </w:r>
      <w:r>
        <w:rPr>
          <w:rFonts w:ascii="仿宋_GB2312" w:eastAsia="仿宋_GB2312" w:hint="eastAsia"/>
          <w:sz w:val="32"/>
          <w:szCs w:val="32"/>
        </w:rPr>
        <w:t>“旅游</w:t>
      </w:r>
      <w:r>
        <w:rPr>
          <w:rFonts w:ascii="仿宋_GB2312" w:eastAsia="仿宋_GB2312" w:hint="eastAsia"/>
          <w:sz w:val="32"/>
          <w:szCs w:val="32"/>
        </w:rPr>
        <w:t>+</w:t>
      </w:r>
      <w:r>
        <w:rPr>
          <w:rFonts w:ascii="仿宋_GB2312" w:eastAsia="仿宋_GB2312" w:hint="eastAsia"/>
          <w:sz w:val="32"/>
          <w:szCs w:val="32"/>
        </w:rPr>
        <w:t>体育”的模式拉动了旅游消费，促进了办赛投资和产业投资。目前，我市有广西四星级体育综合体</w:t>
      </w:r>
      <w:r>
        <w:rPr>
          <w:rFonts w:ascii="仿宋_GB2312" w:eastAsia="仿宋_GB2312" w:hint="eastAsia"/>
          <w:sz w:val="32"/>
          <w:szCs w:val="32"/>
        </w:rPr>
        <w:t>1</w:t>
      </w:r>
      <w:r>
        <w:rPr>
          <w:rFonts w:ascii="仿宋_GB2312" w:eastAsia="仿宋_GB2312" w:hint="eastAsia"/>
          <w:sz w:val="32"/>
          <w:szCs w:val="32"/>
        </w:rPr>
        <w:t>个；三星级体育综合体</w:t>
      </w:r>
      <w:r>
        <w:rPr>
          <w:rFonts w:ascii="仿宋_GB2312" w:eastAsia="仿宋_GB2312" w:hint="eastAsia"/>
          <w:sz w:val="32"/>
          <w:szCs w:val="32"/>
        </w:rPr>
        <w:t>4</w:t>
      </w:r>
      <w:r>
        <w:rPr>
          <w:rFonts w:ascii="仿宋_GB2312" w:eastAsia="仿宋_GB2312" w:hint="eastAsia"/>
          <w:sz w:val="32"/>
          <w:szCs w:val="32"/>
        </w:rPr>
        <w:t>个，二星级体育综合体</w:t>
      </w:r>
      <w:r>
        <w:rPr>
          <w:rFonts w:ascii="仿宋_GB2312" w:eastAsia="仿宋_GB2312" w:hint="eastAsia"/>
          <w:sz w:val="32"/>
          <w:szCs w:val="32"/>
        </w:rPr>
        <w:t>1</w:t>
      </w:r>
      <w:r>
        <w:rPr>
          <w:rFonts w:ascii="仿宋_GB2312" w:eastAsia="仿宋_GB2312" w:hint="eastAsia"/>
          <w:sz w:val="32"/>
          <w:szCs w:val="32"/>
        </w:rPr>
        <w:t>个；百里柳江</w:t>
      </w:r>
      <w:proofErr w:type="gramStart"/>
      <w:r>
        <w:rPr>
          <w:rFonts w:ascii="仿宋_GB2312" w:eastAsia="仿宋_GB2312" w:hint="eastAsia"/>
          <w:sz w:val="32"/>
          <w:szCs w:val="32"/>
        </w:rPr>
        <w:t>景区获</w:t>
      </w:r>
      <w:proofErr w:type="gramEnd"/>
      <w:r>
        <w:rPr>
          <w:rFonts w:ascii="仿宋_GB2312" w:eastAsia="仿宋_GB2312" w:hint="eastAsia"/>
          <w:sz w:val="32"/>
          <w:szCs w:val="32"/>
        </w:rPr>
        <w:t>国家级体育旅游示范基地；三江抢</w:t>
      </w:r>
      <w:proofErr w:type="gramStart"/>
      <w:r>
        <w:rPr>
          <w:rFonts w:ascii="仿宋_GB2312" w:eastAsia="仿宋_GB2312" w:hint="eastAsia"/>
          <w:sz w:val="32"/>
          <w:szCs w:val="32"/>
        </w:rPr>
        <w:t>花炮获</w:t>
      </w:r>
      <w:proofErr w:type="gramEnd"/>
      <w:r>
        <w:rPr>
          <w:rFonts w:ascii="仿宋_GB2312" w:eastAsia="仿宋_GB2312" w:hint="eastAsia"/>
          <w:sz w:val="32"/>
          <w:szCs w:val="32"/>
        </w:rPr>
        <w:t>中华体育文化优秀项目；</w:t>
      </w:r>
      <w:proofErr w:type="spellStart"/>
      <w:r>
        <w:rPr>
          <w:rFonts w:ascii="仿宋_GB2312" w:eastAsia="仿宋_GB2312" w:hint="eastAsia"/>
          <w:sz w:val="32"/>
          <w:szCs w:val="32"/>
        </w:rPr>
        <w:t>Iroman</w:t>
      </w:r>
      <w:proofErr w:type="spellEnd"/>
      <w:r>
        <w:rPr>
          <w:rFonts w:ascii="仿宋_GB2312" w:eastAsia="仿宋_GB2312" w:hint="eastAsia"/>
          <w:sz w:val="32"/>
          <w:szCs w:val="32"/>
        </w:rPr>
        <w:t>柳州世界铁人三项赛、柳州国际水上休闲运动会获自治区体育旅游精品赛事；鹿寨县中渡喀斯特山水古韵小镇获自治区体育特色小镇培育名单，并获评广西体育旅游精品路线；</w:t>
      </w:r>
      <w:proofErr w:type="gramStart"/>
      <w:r>
        <w:rPr>
          <w:rFonts w:ascii="仿宋_GB2312" w:eastAsia="仿宋_GB2312" w:hint="eastAsia"/>
          <w:sz w:val="32"/>
          <w:szCs w:val="32"/>
        </w:rPr>
        <w:t>柳南螺蛳</w:t>
      </w:r>
      <w:proofErr w:type="gramEnd"/>
      <w:r>
        <w:rPr>
          <w:rFonts w:ascii="仿宋_GB2312" w:eastAsia="仿宋_GB2312" w:hint="eastAsia"/>
          <w:sz w:val="32"/>
          <w:szCs w:val="32"/>
        </w:rPr>
        <w:t>粉</w:t>
      </w:r>
      <w:r>
        <w:rPr>
          <w:rFonts w:ascii="仿宋_GB2312" w:eastAsia="仿宋_GB2312" w:hint="eastAsia"/>
          <w:sz w:val="32"/>
          <w:szCs w:val="32"/>
        </w:rPr>
        <w:lastRenderedPageBreak/>
        <w:t>小镇飞行营地、</w:t>
      </w:r>
      <w:proofErr w:type="gramStart"/>
      <w:r>
        <w:rPr>
          <w:rFonts w:ascii="仿宋_GB2312" w:eastAsia="仿宋_GB2312" w:hint="eastAsia"/>
          <w:sz w:val="32"/>
          <w:szCs w:val="32"/>
        </w:rPr>
        <w:t>北航奥翔无人机</w:t>
      </w:r>
      <w:proofErr w:type="gramEnd"/>
      <w:r>
        <w:rPr>
          <w:rFonts w:ascii="仿宋_GB2312" w:eastAsia="仿宋_GB2312" w:hint="eastAsia"/>
          <w:sz w:val="32"/>
          <w:szCs w:val="32"/>
        </w:rPr>
        <w:t>飞行</w:t>
      </w:r>
      <w:proofErr w:type="gramStart"/>
      <w:r>
        <w:rPr>
          <w:rFonts w:ascii="仿宋_GB2312" w:eastAsia="仿宋_GB2312" w:hint="eastAsia"/>
          <w:sz w:val="32"/>
          <w:szCs w:val="32"/>
        </w:rPr>
        <w:t>营地获</w:t>
      </w:r>
      <w:proofErr w:type="gramEnd"/>
      <w:r>
        <w:rPr>
          <w:rFonts w:ascii="仿宋_GB2312" w:eastAsia="仿宋_GB2312" w:hint="eastAsia"/>
          <w:sz w:val="32"/>
          <w:szCs w:val="32"/>
        </w:rPr>
        <w:t>广西航空体育飞行基地</w:t>
      </w:r>
      <w:proofErr w:type="gramStart"/>
      <w:r>
        <w:rPr>
          <w:rFonts w:ascii="仿宋_GB2312" w:eastAsia="仿宋_GB2312" w:hint="eastAsia"/>
          <w:sz w:val="32"/>
          <w:szCs w:val="32"/>
        </w:rPr>
        <w:t>地</w:t>
      </w:r>
      <w:proofErr w:type="gramEnd"/>
      <w:r>
        <w:rPr>
          <w:rFonts w:ascii="仿宋_GB2312" w:eastAsia="仿宋_GB2312" w:hint="eastAsia"/>
          <w:sz w:val="32"/>
          <w:szCs w:val="32"/>
        </w:rPr>
        <w:t>。经统计，截至</w:t>
      </w:r>
      <w:r>
        <w:rPr>
          <w:rFonts w:ascii="仿宋_GB2312" w:eastAsia="仿宋_GB2312" w:hint="eastAsia"/>
          <w:sz w:val="32"/>
          <w:szCs w:val="32"/>
        </w:rPr>
        <w:t>20</w:t>
      </w:r>
      <w:r>
        <w:rPr>
          <w:rFonts w:ascii="仿宋_GB2312" w:eastAsia="仿宋_GB2312"/>
          <w:sz w:val="32"/>
          <w:szCs w:val="32"/>
        </w:rPr>
        <w:t>20</w:t>
      </w:r>
      <w:r>
        <w:rPr>
          <w:rFonts w:ascii="仿宋_GB2312" w:eastAsia="仿宋_GB2312" w:hint="eastAsia"/>
          <w:sz w:val="32"/>
          <w:szCs w:val="32"/>
        </w:rPr>
        <w:t>年底，我市体育产业市场主体</w:t>
      </w:r>
      <w:r>
        <w:rPr>
          <w:rFonts w:ascii="仿宋_GB2312" w:eastAsia="仿宋_GB2312"/>
          <w:sz w:val="32"/>
          <w:szCs w:val="32"/>
        </w:rPr>
        <w:t>3408</w:t>
      </w:r>
      <w:r>
        <w:rPr>
          <w:rFonts w:ascii="仿宋_GB2312" w:eastAsia="仿宋_GB2312" w:hint="eastAsia"/>
          <w:sz w:val="32"/>
          <w:szCs w:val="32"/>
        </w:rPr>
        <w:t>个，其中民营企业</w:t>
      </w:r>
      <w:r>
        <w:rPr>
          <w:rFonts w:ascii="仿宋_GB2312" w:eastAsia="仿宋_GB2312" w:hint="eastAsia"/>
          <w:sz w:val="32"/>
          <w:szCs w:val="32"/>
        </w:rPr>
        <w:t xml:space="preserve"> </w:t>
      </w:r>
      <w:r>
        <w:rPr>
          <w:rFonts w:ascii="仿宋_GB2312" w:eastAsia="仿宋_GB2312"/>
          <w:sz w:val="32"/>
          <w:szCs w:val="32"/>
        </w:rPr>
        <w:t>28</w:t>
      </w:r>
      <w:r>
        <w:rPr>
          <w:rFonts w:ascii="仿宋_GB2312" w:eastAsia="仿宋_GB2312" w:hint="eastAsia"/>
          <w:sz w:val="32"/>
          <w:szCs w:val="32"/>
        </w:rPr>
        <w:t>75</w:t>
      </w:r>
      <w:r>
        <w:rPr>
          <w:rFonts w:ascii="仿宋_GB2312" w:eastAsia="仿宋_GB2312" w:hint="eastAsia"/>
          <w:sz w:val="32"/>
          <w:szCs w:val="32"/>
        </w:rPr>
        <w:t>家，投入体育产业经费总额</w:t>
      </w:r>
      <w:r>
        <w:rPr>
          <w:rFonts w:ascii="仿宋_GB2312" w:eastAsia="仿宋_GB2312"/>
          <w:sz w:val="32"/>
          <w:szCs w:val="32"/>
        </w:rPr>
        <w:t>33</w:t>
      </w:r>
      <w:r>
        <w:rPr>
          <w:rFonts w:ascii="仿宋_GB2312" w:eastAsia="仿宋_GB2312" w:hint="eastAsia"/>
          <w:sz w:val="32"/>
          <w:szCs w:val="32"/>
        </w:rPr>
        <w:t>.6</w:t>
      </w:r>
      <w:r>
        <w:rPr>
          <w:rFonts w:ascii="仿宋_GB2312" w:eastAsia="仿宋_GB2312" w:hint="eastAsia"/>
          <w:sz w:val="32"/>
          <w:szCs w:val="32"/>
        </w:rPr>
        <w:t>亿元，占全市总投入</w:t>
      </w:r>
      <w:r>
        <w:rPr>
          <w:rFonts w:ascii="仿宋_GB2312" w:eastAsia="仿宋_GB2312"/>
          <w:sz w:val="32"/>
          <w:szCs w:val="32"/>
        </w:rPr>
        <w:t>5</w:t>
      </w:r>
      <w:r>
        <w:rPr>
          <w:rFonts w:ascii="仿宋_GB2312" w:eastAsia="仿宋_GB2312" w:hint="eastAsia"/>
          <w:sz w:val="32"/>
          <w:szCs w:val="32"/>
        </w:rPr>
        <w:t>2.8</w:t>
      </w:r>
      <w:r>
        <w:rPr>
          <w:rFonts w:ascii="仿宋_GB2312" w:eastAsia="仿宋_GB2312" w:hint="eastAsia"/>
          <w:sz w:val="32"/>
          <w:szCs w:val="32"/>
        </w:rPr>
        <w:t>亿元的</w:t>
      </w:r>
      <w:r>
        <w:rPr>
          <w:rFonts w:ascii="仿宋_GB2312" w:eastAsia="仿宋_GB2312"/>
          <w:sz w:val="32"/>
          <w:szCs w:val="32"/>
        </w:rPr>
        <w:t>63.6</w:t>
      </w:r>
      <w:r>
        <w:rPr>
          <w:rFonts w:ascii="仿宋_GB2312" w:eastAsia="仿宋_GB2312" w:hint="eastAsia"/>
          <w:sz w:val="32"/>
          <w:szCs w:val="32"/>
        </w:rPr>
        <w:t>%</w:t>
      </w:r>
      <w:r>
        <w:rPr>
          <w:rFonts w:ascii="仿宋_GB2312" w:eastAsia="仿宋_GB2312" w:hint="eastAsia"/>
          <w:sz w:val="32"/>
          <w:szCs w:val="32"/>
        </w:rPr>
        <w:t>，体育产业值</w:t>
      </w:r>
      <w:r>
        <w:rPr>
          <w:rFonts w:ascii="仿宋_GB2312" w:eastAsia="仿宋_GB2312" w:hint="eastAsia"/>
          <w:sz w:val="32"/>
          <w:szCs w:val="32"/>
        </w:rPr>
        <w:t>156.56</w:t>
      </w:r>
      <w:r>
        <w:rPr>
          <w:rFonts w:ascii="仿宋_GB2312" w:eastAsia="仿宋_GB2312" w:hint="eastAsia"/>
          <w:sz w:val="32"/>
          <w:szCs w:val="32"/>
        </w:rPr>
        <w:t>亿元，增加值</w:t>
      </w:r>
      <w:r>
        <w:rPr>
          <w:rFonts w:ascii="仿宋_GB2312" w:eastAsia="仿宋_GB2312" w:hint="eastAsia"/>
          <w:sz w:val="32"/>
          <w:szCs w:val="32"/>
        </w:rPr>
        <w:t>48.75</w:t>
      </w:r>
      <w:r>
        <w:rPr>
          <w:rFonts w:ascii="仿宋_GB2312" w:eastAsia="仿宋_GB2312" w:hint="eastAsia"/>
          <w:sz w:val="32"/>
          <w:szCs w:val="32"/>
        </w:rPr>
        <w:t>亿元，占全市</w:t>
      </w:r>
      <w:r>
        <w:rPr>
          <w:rFonts w:ascii="仿宋_GB2312" w:eastAsia="仿宋_GB2312" w:hint="eastAsia"/>
          <w:sz w:val="32"/>
          <w:szCs w:val="32"/>
        </w:rPr>
        <w:t>GDP</w:t>
      </w:r>
      <w:r>
        <w:rPr>
          <w:rFonts w:ascii="仿宋_GB2312" w:eastAsia="仿宋_GB2312" w:hint="eastAsia"/>
          <w:sz w:val="32"/>
          <w:szCs w:val="32"/>
        </w:rPr>
        <w:t>达</w:t>
      </w:r>
      <w:r>
        <w:rPr>
          <w:rFonts w:ascii="仿宋_GB2312" w:eastAsia="仿宋_GB2312" w:hint="eastAsia"/>
          <w:sz w:val="32"/>
          <w:szCs w:val="32"/>
        </w:rPr>
        <w:t>1.53%</w:t>
      </w:r>
      <w:r>
        <w:rPr>
          <w:rFonts w:ascii="仿宋_GB2312" w:eastAsia="仿宋_GB2312" w:hint="eastAsia"/>
          <w:sz w:val="32"/>
          <w:szCs w:val="32"/>
        </w:rPr>
        <w:t>。</w:t>
      </w:r>
    </w:p>
    <w:p w14:paraId="281FBC42" w14:textId="77777777" w:rsidR="008A5C83" w:rsidRDefault="00A7141B">
      <w:pPr>
        <w:pStyle w:val="3"/>
        <w:numPr>
          <w:ilvl w:val="0"/>
          <w:numId w:val="0"/>
        </w:numPr>
        <w:spacing w:before="0" w:after="0" w:line="240" w:lineRule="auto"/>
        <w:ind w:left="567"/>
        <w:rPr>
          <w:rFonts w:ascii="仿宋_GB2312" w:eastAsia="仿宋_GB2312"/>
          <w:sz w:val="32"/>
        </w:rPr>
      </w:pPr>
      <w:bookmarkStart w:id="16" w:name="_Toc63006294"/>
      <w:bookmarkStart w:id="17" w:name="_Toc63006980"/>
      <w:r>
        <w:rPr>
          <w:rFonts w:ascii="仿宋_GB2312" w:eastAsia="仿宋_GB2312" w:hint="eastAsia"/>
          <w:sz w:val="32"/>
        </w:rPr>
        <w:t xml:space="preserve"> 6.</w:t>
      </w:r>
      <w:r>
        <w:rPr>
          <w:rFonts w:ascii="仿宋_GB2312" w:eastAsia="仿宋_GB2312" w:hint="eastAsia"/>
          <w:sz w:val="32"/>
        </w:rPr>
        <w:t>重大赛事持续推进</w:t>
      </w:r>
      <w:bookmarkEnd w:id="16"/>
      <w:bookmarkEnd w:id="17"/>
    </w:p>
    <w:p w14:paraId="6486016C"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大力实施打造“中国水上娱乐运动之都”战略，“十三五”期间，柳州市成功举办</w:t>
      </w:r>
      <w:r>
        <w:rPr>
          <w:rFonts w:ascii="仿宋_GB2312" w:eastAsia="仿宋_GB2312" w:hint="eastAsia"/>
          <w:sz w:val="32"/>
          <w:szCs w:val="32"/>
        </w:rPr>
        <w:t>F1</w:t>
      </w:r>
      <w:r>
        <w:rPr>
          <w:rFonts w:ascii="仿宋_GB2312" w:eastAsia="仿宋_GB2312" w:hint="eastAsia"/>
          <w:sz w:val="32"/>
          <w:szCs w:val="32"/>
        </w:rPr>
        <w:t>摩托艇世界锦标赛、水上摩托世界锦标赛、中美滑水明星对抗赛、</w:t>
      </w:r>
      <w:proofErr w:type="spellStart"/>
      <w:r>
        <w:rPr>
          <w:rFonts w:ascii="仿宋_GB2312" w:eastAsia="仿宋_GB2312" w:hint="eastAsia"/>
          <w:sz w:val="32"/>
          <w:szCs w:val="32"/>
        </w:rPr>
        <w:t>Iroman</w:t>
      </w:r>
      <w:proofErr w:type="spellEnd"/>
      <w:r>
        <w:rPr>
          <w:rFonts w:ascii="仿宋_GB2312" w:eastAsia="仿宋_GB2312" w:hint="eastAsia"/>
          <w:sz w:val="32"/>
          <w:szCs w:val="32"/>
        </w:rPr>
        <w:t>柳州世界铁人三项赛、城市</w:t>
      </w:r>
      <w:proofErr w:type="gramStart"/>
      <w:r>
        <w:rPr>
          <w:rFonts w:ascii="仿宋_GB2312" w:eastAsia="仿宋_GB2312" w:hint="eastAsia"/>
          <w:sz w:val="32"/>
          <w:szCs w:val="32"/>
        </w:rPr>
        <w:t>围棋联赛</w:t>
      </w:r>
      <w:proofErr w:type="gramEnd"/>
      <w:r>
        <w:rPr>
          <w:rFonts w:ascii="仿宋_GB2312" w:eastAsia="仿宋_GB2312" w:hint="eastAsia"/>
          <w:sz w:val="32"/>
          <w:szCs w:val="32"/>
        </w:rPr>
        <w:t>柳州站比赛、环广西公路自行车世界巡回赛柳州段比赛、柳州国际网球公开赛、柳州国际水上休闲运动会等国际国内重大赛事；连续举办国际水上狂欢节，极大丰富了我市体育旅游产品供给，为促进体育消费、扩大城市影响，发挥了积极作用。</w:t>
      </w:r>
    </w:p>
    <w:p w14:paraId="03F17716" w14:textId="77777777" w:rsidR="008A5C83" w:rsidRDefault="00A7141B">
      <w:pPr>
        <w:pStyle w:val="3"/>
        <w:numPr>
          <w:ilvl w:val="0"/>
          <w:numId w:val="0"/>
        </w:numPr>
        <w:spacing w:before="0" w:after="0" w:line="240" w:lineRule="auto"/>
        <w:ind w:left="567"/>
        <w:rPr>
          <w:rFonts w:ascii="仿宋_GB2312" w:eastAsia="仿宋_GB2312"/>
          <w:sz w:val="32"/>
        </w:rPr>
      </w:pPr>
      <w:bookmarkStart w:id="18" w:name="_Toc63006981"/>
      <w:bookmarkStart w:id="19" w:name="_Toc63006295"/>
      <w:r>
        <w:rPr>
          <w:rFonts w:ascii="仿宋_GB2312" w:eastAsia="仿宋_GB2312" w:hint="eastAsia"/>
          <w:sz w:val="32"/>
        </w:rPr>
        <w:t>7.</w:t>
      </w:r>
      <w:hyperlink r:id="rId14" w:tgtFrame="_blank" w:history="1">
        <w:r>
          <w:rPr>
            <w:rFonts w:ascii="仿宋_GB2312" w:eastAsia="仿宋_GB2312" w:hint="eastAsia"/>
            <w:sz w:val="32"/>
          </w:rPr>
          <w:t>以点带面全面启动体育事业与相关事业深度融合</w:t>
        </w:r>
      </w:hyperlink>
      <w:r>
        <w:rPr>
          <w:rFonts w:ascii="仿宋_GB2312" w:eastAsia="仿宋_GB2312" w:hint="eastAsia"/>
          <w:sz w:val="32"/>
        </w:rPr>
        <w:t>工作</w:t>
      </w:r>
      <w:bookmarkEnd w:id="18"/>
      <w:bookmarkEnd w:id="19"/>
    </w:p>
    <w:p w14:paraId="61723B37"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深入推进全民健身与全民健康、全域旅游、公共教育</w:t>
      </w:r>
      <w:r>
        <w:rPr>
          <w:rFonts w:ascii="仿宋_GB2312" w:eastAsia="仿宋_GB2312" w:hint="eastAsia"/>
          <w:sz w:val="32"/>
          <w:szCs w:val="32"/>
        </w:rPr>
        <w:lastRenderedPageBreak/>
        <w:t>等事业深度融合工作，市体育局</w:t>
      </w:r>
      <w:proofErr w:type="gramStart"/>
      <w:r>
        <w:rPr>
          <w:rFonts w:ascii="仿宋_GB2312" w:eastAsia="仿宋_GB2312" w:hint="eastAsia"/>
          <w:sz w:val="32"/>
          <w:szCs w:val="32"/>
        </w:rPr>
        <w:t>与鱼峰区</w:t>
      </w:r>
      <w:proofErr w:type="gramEnd"/>
      <w:r>
        <w:rPr>
          <w:rFonts w:ascii="仿宋_GB2312" w:eastAsia="仿宋_GB2312" w:hint="eastAsia"/>
          <w:sz w:val="32"/>
          <w:szCs w:val="32"/>
        </w:rPr>
        <w:t>人民政府、城中区人民政府签订《共建全民健身与全民健康深度融合示范项目合作协议》，在柳州市深度融合试点工作总体框架下，围绕“便民惠民”这个核心，从学校、社区、企事业单位体育场地对外开放，体育社会组织健身项目推广和健身指导服务，社会体育指导员培训，基层体育基础设施建设与器材配置，举办群众体育赛事等方面进行合作，</w:t>
      </w:r>
      <w:hyperlink r:id="rId15" w:tgtFrame="_blank" w:history="1">
        <w:r>
          <w:rPr>
            <w:rFonts w:ascii="仿宋_GB2312" w:eastAsia="仿宋_GB2312" w:hint="eastAsia"/>
            <w:sz w:val="32"/>
            <w:szCs w:val="32"/>
          </w:rPr>
          <w:t>以点带面全面启动全民健身与全民健康深度融合</w:t>
        </w:r>
      </w:hyperlink>
      <w:r>
        <w:rPr>
          <w:rFonts w:ascii="仿宋_GB2312" w:eastAsia="仿宋_GB2312" w:hint="eastAsia"/>
          <w:sz w:val="32"/>
          <w:szCs w:val="32"/>
        </w:rPr>
        <w:t>工作。同时积极学习发达地区先进经验，先后组织课题调研组、体育产业发展相关人员到北京、青岛、海南、杭州等地对体育进商场、体育综合体运营管理、体育旅游、智慧体育、健康产业发展等方面进行全面考察，为柳州市“体育</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体育”发展寻求突破，就如何实现体育与商业深度融合，增强城市中心区体育用户的黏性，打造体育综合体等事项，作了前瞻性的研究，并提出科学合理的意见建议。</w:t>
      </w:r>
    </w:p>
    <w:p w14:paraId="76569DF8"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年起开展了全民健身和全民健康深度融合试点工作，建立了柳州全民健身和全民健康深度融合部门联席会</w:t>
      </w:r>
      <w:r>
        <w:rPr>
          <w:rFonts w:ascii="仿宋_GB2312" w:eastAsia="仿宋_GB2312" w:hint="eastAsia"/>
          <w:sz w:val="32"/>
          <w:szCs w:val="32"/>
        </w:rPr>
        <w:lastRenderedPageBreak/>
        <w:t>议制度，重点推动了体</w:t>
      </w:r>
      <w:proofErr w:type="gramStart"/>
      <w:r>
        <w:rPr>
          <w:rFonts w:ascii="仿宋_GB2312" w:eastAsia="仿宋_GB2312" w:hint="eastAsia"/>
          <w:sz w:val="32"/>
          <w:szCs w:val="32"/>
        </w:rPr>
        <w:t>医</w:t>
      </w:r>
      <w:proofErr w:type="gramEnd"/>
      <w:r>
        <w:rPr>
          <w:rFonts w:ascii="仿宋_GB2312" w:eastAsia="仿宋_GB2312" w:hint="eastAsia"/>
          <w:sz w:val="32"/>
          <w:szCs w:val="32"/>
        </w:rPr>
        <w:t>融合，</w:t>
      </w:r>
      <w:r>
        <w:rPr>
          <w:rFonts w:ascii="仿宋_GB2312" w:eastAsia="仿宋_GB2312" w:hint="eastAsia"/>
          <w:sz w:val="32"/>
          <w:szCs w:val="32"/>
        </w:rPr>
        <w:t>2019</w:t>
      </w:r>
      <w:r>
        <w:rPr>
          <w:rFonts w:ascii="仿宋_GB2312" w:eastAsia="仿宋_GB2312" w:hint="eastAsia"/>
          <w:sz w:val="32"/>
          <w:szCs w:val="32"/>
        </w:rPr>
        <w:t>年先后将市工人医院、市中医院等三级甲等医院纳入体</w:t>
      </w:r>
      <w:proofErr w:type="gramStart"/>
      <w:r>
        <w:rPr>
          <w:rFonts w:ascii="仿宋_GB2312" w:eastAsia="仿宋_GB2312" w:hint="eastAsia"/>
          <w:sz w:val="32"/>
          <w:szCs w:val="32"/>
        </w:rPr>
        <w:t>医</w:t>
      </w:r>
      <w:proofErr w:type="gramEnd"/>
      <w:r>
        <w:rPr>
          <w:rFonts w:ascii="仿宋_GB2312" w:eastAsia="仿宋_GB2312" w:hint="eastAsia"/>
          <w:sz w:val="32"/>
          <w:szCs w:val="32"/>
        </w:rPr>
        <w:t>合作行列，提升人民群众科学健身的指导能力。市工人医院专门设立运动损伤康复治疗中心，市中医院设立了国民体质监测与科学健身指导中心，通过各种方式推广运动处方，运动促进健康的疾病管理模式得到较好的应用。</w:t>
      </w:r>
    </w:p>
    <w:p w14:paraId="73F72FFF" w14:textId="77777777" w:rsidR="008A5C83" w:rsidRDefault="00A7141B">
      <w:pPr>
        <w:pStyle w:val="2"/>
        <w:spacing w:before="0" w:after="0"/>
        <w:rPr>
          <w:color w:val="auto"/>
          <w:sz w:val="32"/>
        </w:rPr>
      </w:pPr>
      <w:bookmarkStart w:id="20" w:name="_Toc63006982"/>
      <w:r>
        <w:rPr>
          <w:rFonts w:hint="eastAsia"/>
          <w:color w:val="auto"/>
          <w:sz w:val="32"/>
        </w:rPr>
        <w:t xml:space="preserve">    </w:t>
      </w:r>
      <w:r>
        <w:rPr>
          <w:rFonts w:hint="eastAsia"/>
          <w:color w:val="auto"/>
          <w:sz w:val="32"/>
        </w:rPr>
        <w:t>（二）</w:t>
      </w:r>
      <w:r>
        <w:rPr>
          <w:rFonts w:hint="eastAsia"/>
          <w:color w:val="auto"/>
          <w:sz w:val="32"/>
        </w:rPr>
        <w:t xml:space="preserve"> </w:t>
      </w:r>
      <w:bookmarkStart w:id="21" w:name="_Toc55920306"/>
      <w:r>
        <w:rPr>
          <w:rFonts w:hint="eastAsia"/>
          <w:color w:val="auto"/>
          <w:sz w:val="32"/>
        </w:rPr>
        <w:t>“十三五”期间体育发展面临的主要矛盾</w:t>
      </w:r>
      <w:bookmarkEnd w:id="20"/>
      <w:bookmarkEnd w:id="21"/>
    </w:p>
    <w:p w14:paraId="6CF9420B"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一是全市体育事业发展不平衡、不充分。受经济社会发展情况影响和制约，存在着较大的城乡差别。</w:t>
      </w:r>
    </w:p>
    <w:p w14:paraId="31679C4E"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二是体育产业与发达地区相比还有差距。体育产业虽然在广西处于领先水平，但产业门类不齐全，体育用品及相关产品制造业不发达，体育产业投资侧重于基础设施和赛事活动，产值的统计还不够规范。</w:t>
      </w:r>
    </w:p>
    <w:p w14:paraId="6EE41CFF"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三是体育设施智能化和管理维护水平不高。体育场馆的运营模式不够先进，运营单位在智能化管理方面的投入少，人力向科技转化的步子有待跟上。</w:t>
      </w:r>
    </w:p>
    <w:p w14:paraId="40395979"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四是学校的体育场地面向社会开放程度有待提高，县</w:t>
      </w:r>
      <w:r>
        <w:rPr>
          <w:rFonts w:ascii="仿宋_GB2312" w:eastAsia="仿宋_GB2312" w:hint="eastAsia"/>
          <w:sz w:val="32"/>
          <w:szCs w:val="32"/>
        </w:rPr>
        <w:lastRenderedPageBreak/>
        <w:t>区体育行政管理力量薄弱，社会力量办体育需进一步加强。</w:t>
      </w:r>
    </w:p>
    <w:p w14:paraId="732A5417" w14:textId="77777777" w:rsidR="008A5C83" w:rsidRDefault="00A7141B">
      <w:pPr>
        <w:pStyle w:val="1"/>
        <w:spacing w:before="0" w:after="0"/>
        <w:rPr>
          <w:rFonts w:ascii="黑体" w:eastAsia="黑体" w:hAnsi="黑体" w:hint="eastAsia"/>
        </w:rPr>
      </w:pPr>
      <w:bookmarkStart w:id="22" w:name="_Toc55920307"/>
      <w:bookmarkStart w:id="23" w:name="_Toc63006983"/>
      <w:r>
        <w:rPr>
          <w:rFonts w:hint="eastAsia"/>
        </w:rPr>
        <w:t xml:space="preserve">   </w:t>
      </w:r>
      <w:r>
        <w:rPr>
          <w:rFonts w:ascii="黑体" w:eastAsia="黑体" w:hAnsi="黑体" w:hint="eastAsia"/>
        </w:rPr>
        <w:t xml:space="preserve"> </w:t>
      </w:r>
      <w:r>
        <w:rPr>
          <w:rFonts w:ascii="黑体" w:eastAsia="黑体" w:hAnsi="黑体" w:hint="eastAsia"/>
        </w:rPr>
        <w:t>二、“十四五”期间柳州体育事业发展的机遇与</w:t>
      </w:r>
      <w:bookmarkEnd w:id="22"/>
      <w:r>
        <w:rPr>
          <w:rFonts w:ascii="黑体" w:eastAsia="黑体" w:hAnsi="黑体" w:hint="eastAsia"/>
        </w:rPr>
        <w:t>挑战</w:t>
      </w:r>
      <w:bookmarkEnd w:id="23"/>
    </w:p>
    <w:p w14:paraId="39E8EE17" w14:textId="77777777" w:rsidR="008A5C83" w:rsidRDefault="00A7141B">
      <w:pPr>
        <w:pStyle w:val="2"/>
        <w:spacing w:before="0" w:after="0"/>
        <w:rPr>
          <w:color w:val="auto"/>
          <w:sz w:val="32"/>
        </w:rPr>
      </w:pPr>
      <w:bookmarkStart w:id="24" w:name="_Toc55920308"/>
      <w:bookmarkStart w:id="25" w:name="_Toc63006984"/>
      <w:r>
        <w:rPr>
          <w:rFonts w:hint="eastAsia"/>
          <w:color w:val="auto"/>
          <w:sz w:val="32"/>
        </w:rPr>
        <w:t xml:space="preserve">   </w:t>
      </w:r>
      <w:r>
        <w:rPr>
          <w:rFonts w:hint="eastAsia"/>
          <w:color w:val="auto"/>
          <w:sz w:val="32"/>
        </w:rPr>
        <w:t>（一）发展优势</w:t>
      </w:r>
      <w:bookmarkEnd w:id="24"/>
      <w:bookmarkEnd w:id="25"/>
    </w:p>
    <w:p w14:paraId="3802CC63" w14:textId="77777777" w:rsidR="008A5C83" w:rsidRDefault="00A7141B">
      <w:pPr>
        <w:pStyle w:val="3"/>
        <w:numPr>
          <w:ilvl w:val="0"/>
          <w:numId w:val="0"/>
        </w:numPr>
        <w:spacing w:before="0" w:after="0" w:line="240" w:lineRule="auto"/>
        <w:ind w:firstLineChars="196" w:firstLine="630"/>
        <w:rPr>
          <w:rFonts w:ascii="仿宋_GB2312" w:eastAsia="仿宋_GB2312"/>
          <w:sz w:val="32"/>
        </w:rPr>
      </w:pPr>
      <w:bookmarkStart w:id="26" w:name="_Toc63006985"/>
      <w:bookmarkStart w:id="27" w:name="_Toc63006299"/>
      <w:r>
        <w:rPr>
          <w:rFonts w:ascii="仿宋_GB2312" w:eastAsia="仿宋_GB2312" w:hint="eastAsia"/>
          <w:sz w:val="32"/>
        </w:rPr>
        <w:t>1.</w:t>
      </w:r>
      <w:r>
        <w:rPr>
          <w:rFonts w:ascii="仿宋_GB2312" w:eastAsia="仿宋_GB2312" w:hint="eastAsia"/>
          <w:sz w:val="32"/>
        </w:rPr>
        <w:t>资源优势</w:t>
      </w:r>
      <w:bookmarkEnd w:id="26"/>
      <w:bookmarkEnd w:id="27"/>
    </w:p>
    <w:p w14:paraId="5E67B83F"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大美柳州，</w:t>
      </w:r>
      <w:proofErr w:type="gramStart"/>
      <w:r>
        <w:rPr>
          <w:rFonts w:ascii="仿宋_GB2312" w:eastAsia="仿宋_GB2312" w:hint="eastAsia"/>
          <w:sz w:val="32"/>
          <w:szCs w:val="32"/>
        </w:rPr>
        <w:t>一</w:t>
      </w:r>
      <w:proofErr w:type="gramEnd"/>
      <w:r>
        <w:rPr>
          <w:rFonts w:ascii="仿宋_GB2312" w:eastAsia="仿宋_GB2312" w:hint="eastAsia"/>
          <w:sz w:val="32"/>
          <w:szCs w:val="32"/>
        </w:rPr>
        <w:t>水绕城。柳江水资源丰富，自然条件得天独厚，使得柳州成为全国独树一帜的天然水上运动场地；体育文化底蕴深厚，民族传统文化丰富，山水资源较好，非常有利于“体育</w:t>
      </w:r>
      <w:r>
        <w:rPr>
          <w:rFonts w:ascii="仿宋_GB2312" w:eastAsia="仿宋_GB2312" w:hint="eastAsia"/>
          <w:sz w:val="32"/>
          <w:szCs w:val="32"/>
        </w:rPr>
        <w:t>+</w:t>
      </w:r>
      <w:r>
        <w:rPr>
          <w:rFonts w:ascii="仿宋_GB2312" w:eastAsia="仿宋_GB2312" w:hint="eastAsia"/>
          <w:sz w:val="32"/>
          <w:szCs w:val="32"/>
        </w:rPr>
        <w:t>”融合发展。而近百年的工业发展史孕育了深厚的工业文化，推动了诸如依托汽车工业的汽车竞速、表演等新兴体育运动发展。应充分利用和发挥柳州山水生态资源、工业优势，培育户外运动休闲产业和汽车赛事，拓展体育运动休闲旅游，加强旅游与体育产业融合发展，将具有良好的发展前景。</w:t>
      </w:r>
    </w:p>
    <w:p w14:paraId="4C143143" w14:textId="77777777" w:rsidR="008A5C83" w:rsidRDefault="00A7141B">
      <w:pPr>
        <w:pStyle w:val="3"/>
        <w:numPr>
          <w:ilvl w:val="0"/>
          <w:numId w:val="0"/>
        </w:numPr>
        <w:spacing w:before="0" w:after="0" w:line="240" w:lineRule="auto"/>
        <w:ind w:left="567"/>
        <w:rPr>
          <w:rFonts w:ascii="仿宋_GB2312" w:eastAsia="仿宋_GB2312"/>
          <w:sz w:val="32"/>
        </w:rPr>
      </w:pPr>
      <w:bookmarkStart w:id="28" w:name="_Toc63006986"/>
      <w:bookmarkStart w:id="29" w:name="_Toc63006300"/>
      <w:r>
        <w:rPr>
          <w:rFonts w:ascii="仿宋_GB2312" w:eastAsia="仿宋_GB2312" w:hint="eastAsia"/>
          <w:sz w:val="32"/>
        </w:rPr>
        <w:t>2.</w:t>
      </w:r>
      <w:r>
        <w:rPr>
          <w:rFonts w:ascii="仿宋_GB2312" w:eastAsia="仿宋_GB2312" w:hint="eastAsia"/>
          <w:sz w:val="32"/>
        </w:rPr>
        <w:t>基础优势</w:t>
      </w:r>
      <w:bookmarkEnd w:id="28"/>
      <w:bookmarkEnd w:id="29"/>
    </w:p>
    <w:p w14:paraId="3DB2B227"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柳州</w:t>
      </w:r>
      <w:proofErr w:type="gramStart"/>
      <w:r>
        <w:rPr>
          <w:rFonts w:ascii="仿宋_GB2312" w:eastAsia="仿宋_GB2312" w:hint="eastAsia"/>
          <w:sz w:val="32"/>
          <w:szCs w:val="32"/>
        </w:rPr>
        <w:t>现有静兰水上运动</w:t>
      </w:r>
      <w:proofErr w:type="gramEnd"/>
      <w:r>
        <w:rPr>
          <w:rFonts w:ascii="仿宋_GB2312" w:eastAsia="仿宋_GB2312" w:hint="eastAsia"/>
          <w:sz w:val="32"/>
          <w:szCs w:val="32"/>
        </w:rPr>
        <w:t>基地</w:t>
      </w:r>
      <w:r>
        <w:rPr>
          <w:rFonts w:ascii="仿宋_GB2312" w:eastAsia="仿宋_GB2312" w:hint="eastAsia"/>
          <w:sz w:val="32"/>
          <w:szCs w:val="32"/>
        </w:rPr>
        <w:t xml:space="preserve">, </w:t>
      </w:r>
      <w:r>
        <w:rPr>
          <w:rFonts w:ascii="仿宋_GB2312" w:eastAsia="仿宋_GB2312" w:hint="eastAsia"/>
          <w:sz w:val="32"/>
          <w:szCs w:val="32"/>
        </w:rPr>
        <w:t>国家体育总局水上运动管理中心挂牌的东堤路水上摩托运动基地、东堤路内河帆</w:t>
      </w:r>
      <w:r>
        <w:rPr>
          <w:rFonts w:ascii="仿宋_GB2312" w:eastAsia="仿宋_GB2312" w:hint="eastAsia"/>
          <w:sz w:val="32"/>
          <w:szCs w:val="32"/>
        </w:rPr>
        <w:lastRenderedPageBreak/>
        <w:t>船训练基地，及网球中心挂牌的网球训练基地。每个县区建设一座</w:t>
      </w:r>
      <w:r>
        <w:rPr>
          <w:rFonts w:ascii="仿宋_GB2312" w:eastAsia="仿宋_GB2312" w:hint="eastAsia"/>
          <w:sz w:val="32"/>
          <w:szCs w:val="32"/>
        </w:rPr>
        <w:t>130</w:t>
      </w:r>
      <w:r>
        <w:rPr>
          <w:rFonts w:ascii="仿宋_GB2312" w:eastAsia="仿宋_GB2312" w:hint="eastAsia"/>
          <w:sz w:val="32"/>
          <w:szCs w:val="32"/>
        </w:rPr>
        <w:t>亩以上的体育公园，开全国三线城市之先河；发展体育事业的硬件建设条件好，软件设施建设也不断变强，在全区率先完成二层事业单位改革和资源整合，结合</w:t>
      </w:r>
      <w:r>
        <w:rPr>
          <w:rFonts w:ascii="仿宋_GB2312" w:eastAsia="仿宋_GB2312" w:hint="eastAsia"/>
          <w:sz w:val="32"/>
          <w:szCs w:val="32"/>
        </w:rPr>
        <w:t>“</w:t>
      </w:r>
      <w:r>
        <w:rPr>
          <w:rFonts w:ascii="仿宋_GB2312" w:eastAsia="仿宋_GB2312" w:hint="eastAsia"/>
          <w:sz w:val="32"/>
          <w:szCs w:val="32"/>
        </w:rPr>
        <w:t>龙城市民云</w:t>
      </w:r>
      <w:r>
        <w:rPr>
          <w:rFonts w:ascii="仿宋_GB2312" w:eastAsia="仿宋_GB2312" w:hint="eastAsia"/>
          <w:sz w:val="32"/>
          <w:szCs w:val="32"/>
        </w:rPr>
        <w:t>”</w:t>
      </w:r>
      <w:r>
        <w:rPr>
          <w:rFonts w:ascii="仿宋_GB2312" w:eastAsia="仿宋_GB2312" w:hint="eastAsia"/>
          <w:sz w:val="32"/>
          <w:szCs w:val="32"/>
        </w:rPr>
        <w:t>推出体育场馆预定服务。体育事业发展的良好基础和氛围已形成，对于柳州体育事业的发展具有积极意义。</w:t>
      </w:r>
    </w:p>
    <w:p w14:paraId="0B6961B4" w14:textId="77777777" w:rsidR="008A5C83" w:rsidRDefault="00A7141B">
      <w:pPr>
        <w:pStyle w:val="3"/>
        <w:numPr>
          <w:ilvl w:val="0"/>
          <w:numId w:val="0"/>
        </w:numPr>
        <w:spacing w:before="0" w:after="0" w:line="240" w:lineRule="auto"/>
        <w:ind w:left="567"/>
        <w:rPr>
          <w:rFonts w:ascii="仿宋_GB2312" w:eastAsia="仿宋_GB2312"/>
          <w:sz w:val="32"/>
          <w:shd w:val="clear" w:color="auto" w:fill="FFFFFF"/>
        </w:rPr>
      </w:pPr>
      <w:bookmarkStart w:id="30" w:name="_Toc63006301"/>
      <w:bookmarkStart w:id="31" w:name="_Toc63006987"/>
      <w:r>
        <w:rPr>
          <w:rFonts w:ascii="仿宋_GB2312" w:eastAsia="仿宋_GB2312" w:hint="eastAsia"/>
          <w:sz w:val="32"/>
          <w:shd w:val="clear" w:color="auto" w:fill="FFFFFF"/>
        </w:rPr>
        <w:t xml:space="preserve"> 3.</w:t>
      </w:r>
      <w:r>
        <w:rPr>
          <w:rFonts w:ascii="仿宋_GB2312" w:eastAsia="仿宋_GB2312" w:hint="eastAsia"/>
          <w:sz w:val="32"/>
          <w:shd w:val="clear" w:color="auto" w:fill="FFFFFF"/>
        </w:rPr>
        <w:t>成熟的办赛经验</w:t>
      </w:r>
      <w:bookmarkEnd w:id="30"/>
      <w:bookmarkEnd w:id="31"/>
    </w:p>
    <w:p w14:paraId="64D60091"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柳州市已连续十年成功举办</w:t>
      </w:r>
      <w:r>
        <w:rPr>
          <w:rFonts w:ascii="仿宋_GB2312" w:eastAsia="仿宋_GB2312" w:hint="eastAsia"/>
          <w:sz w:val="32"/>
          <w:szCs w:val="32"/>
        </w:rPr>
        <w:t>F1</w:t>
      </w:r>
      <w:r>
        <w:rPr>
          <w:rFonts w:ascii="仿宋_GB2312" w:eastAsia="仿宋_GB2312" w:hint="eastAsia"/>
          <w:sz w:val="32"/>
          <w:szCs w:val="32"/>
        </w:rPr>
        <w:t>摩托艇世界锦标赛、水上摩托世界锦标赛、中美滑水明星对抗赛</w:t>
      </w:r>
      <w:r>
        <w:rPr>
          <w:rFonts w:ascii="仿宋_GB2312" w:eastAsia="仿宋_GB2312" w:hint="eastAsia"/>
          <w:sz w:val="32"/>
          <w:szCs w:val="32"/>
        </w:rPr>
        <w:t xml:space="preserve">; </w:t>
      </w:r>
      <w:r>
        <w:rPr>
          <w:rFonts w:ascii="仿宋_GB2312" w:eastAsia="仿宋_GB2312" w:hint="eastAsia"/>
          <w:sz w:val="32"/>
          <w:szCs w:val="32"/>
        </w:rPr>
        <w:t>连续举办柳州世界铁人三项赛、城市</w:t>
      </w:r>
      <w:proofErr w:type="gramStart"/>
      <w:r>
        <w:rPr>
          <w:rFonts w:ascii="仿宋_GB2312" w:eastAsia="仿宋_GB2312" w:hint="eastAsia"/>
          <w:sz w:val="32"/>
          <w:szCs w:val="32"/>
        </w:rPr>
        <w:t>围棋联赛</w:t>
      </w:r>
      <w:proofErr w:type="gramEnd"/>
      <w:r>
        <w:rPr>
          <w:rFonts w:ascii="仿宋_GB2312" w:eastAsia="仿宋_GB2312" w:hint="eastAsia"/>
          <w:sz w:val="32"/>
          <w:szCs w:val="32"/>
        </w:rPr>
        <w:t>柳州站比赛、环广西公路自行车世界巡回赛柳州段比赛、柳州国际网球公开赛、柳州国际水上休闲运动会、中国汽车场地越野赛柳州总决赛等国内外高等级赛事。在赛事筹备、竞赛组织、公安</w:t>
      </w:r>
      <w:proofErr w:type="gramStart"/>
      <w:r>
        <w:rPr>
          <w:rFonts w:ascii="仿宋_GB2312" w:eastAsia="仿宋_GB2312" w:hint="eastAsia"/>
          <w:sz w:val="32"/>
          <w:szCs w:val="32"/>
        </w:rPr>
        <w:t>安</w:t>
      </w:r>
      <w:proofErr w:type="gramEnd"/>
      <w:r>
        <w:rPr>
          <w:rFonts w:ascii="仿宋_GB2312" w:eastAsia="仿宋_GB2312" w:hint="eastAsia"/>
          <w:sz w:val="32"/>
          <w:szCs w:val="32"/>
        </w:rPr>
        <w:t>保、赛事保障、赛事运营市场化等有着鲜明的柳州特色和柳州能力</w:t>
      </w:r>
      <w:r>
        <w:rPr>
          <w:rFonts w:ascii="仿宋_GB2312" w:eastAsia="仿宋_GB2312" w:hint="eastAsia"/>
          <w:sz w:val="32"/>
          <w:szCs w:val="32"/>
        </w:rPr>
        <w:t xml:space="preserve">, </w:t>
      </w:r>
      <w:r>
        <w:rPr>
          <w:rFonts w:ascii="仿宋_GB2312" w:eastAsia="仿宋_GB2312" w:hint="eastAsia"/>
          <w:sz w:val="32"/>
          <w:szCs w:val="32"/>
        </w:rPr>
        <w:t>在依托百里柳江水上资源，策划、举办品牌赛事，提升赛事组织、管理、协调、竞赛、宣传工作水平积</w:t>
      </w:r>
      <w:r>
        <w:rPr>
          <w:rFonts w:ascii="仿宋_GB2312" w:eastAsia="仿宋_GB2312" w:hint="eastAsia"/>
          <w:sz w:val="32"/>
          <w:szCs w:val="32"/>
        </w:rPr>
        <w:lastRenderedPageBreak/>
        <w:t>累了丰富经验。</w:t>
      </w:r>
    </w:p>
    <w:p w14:paraId="00E0B424" w14:textId="77777777" w:rsidR="008A5C83" w:rsidRDefault="00A7141B">
      <w:pPr>
        <w:pStyle w:val="3"/>
        <w:numPr>
          <w:ilvl w:val="0"/>
          <w:numId w:val="0"/>
        </w:numPr>
        <w:spacing w:before="0" w:after="0" w:line="240" w:lineRule="auto"/>
        <w:ind w:left="567"/>
        <w:rPr>
          <w:rFonts w:ascii="仿宋_GB2312" w:eastAsia="仿宋_GB2312"/>
          <w:sz w:val="32"/>
          <w:shd w:val="clear" w:color="auto" w:fill="FFFFFF"/>
        </w:rPr>
      </w:pPr>
      <w:bookmarkStart w:id="32" w:name="_Toc63006302"/>
      <w:bookmarkStart w:id="33" w:name="_Toc63006988"/>
      <w:r>
        <w:rPr>
          <w:rFonts w:ascii="仿宋_GB2312" w:eastAsia="仿宋_GB2312" w:hint="eastAsia"/>
          <w:sz w:val="32"/>
          <w:shd w:val="clear" w:color="auto" w:fill="FFFFFF"/>
        </w:rPr>
        <w:t>4.</w:t>
      </w:r>
      <w:r>
        <w:rPr>
          <w:rFonts w:ascii="仿宋_GB2312" w:eastAsia="仿宋_GB2312" w:hint="eastAsia"/>
          <w:sz w:val="32"/>
          <w:shd w:val="clear" w:color="auto" w:fill="FFFFFF"/>
        </w:rPr>
        <w:t>政策助推变革</w:t>
      </w:r>
      <w:bookmarkEnd w:id="32"/>
      <w:bookmarkEnd w:id="33"/>
    </w:p>
    <w:p w14:paraId="476B670D"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党中央、国务院、自治区政府对体育</w:t>
      </w:r>
      <w:proofErr w:type="gramStart"/>
      <w:r>
        <w:rPr>
          <w:rFonts w:ascii="仿宋_GB2312" w:eastAsia="仿宋_GB2312" w:hint="eastAsia"/>
          <w:sz w:val="32"/>
          <w:szCs w:val="32"/>
        </w:rPr>
        <w:t>作出</w:t>
      </w:r>
      <w:proofErr w:type="gramEnd"/>
      <w:r>
        <w:rPr>
          <w:rFonts w:ascii="仿宋_GB2312" w:eastAsia="仿宋_GB2312" w:hint="eastAsia"/>
          <w:sz w:val="32"/>
          <w:szCs w:val="32"/>
        </w:rPr>
        <w:t>了一系列重大决策部署，出台了系列政策措施和文件</w:t>
      </w:r>
      <w:r>
        <w:rPr>
          <w:rFonts w:ascii="仿宋_GB2312" w:eastAsia="仿宋_GB2312" w:hint="eastAsia"/>
          <w:sz w:val="32"/>
          <w:szCs w:val="32"/>
        </w:rPr>
        <w:t>,</w:t>
      </w:r>
      <w:r>
        <w:rPr>
          <w:rFonts w:ascii="仿宋_GB2312" w:eastAsia="仿宋_GB2312" w:hint="eastAsia"/>
          <w:sz w:val="32"/>
          <w:szCs w:val="32"/>
        </w:rPr>
        <w:t>为柳州体育事业的发展明确了方向与重点。全民健身上升为国家战略，《国务院办公厅关于印发体育强国建设纲要的通知》（国办发〔</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40</w:t>
      </w:r>
      <w:r>
        <w:rPr>
          <w:rFonts w:ascii="仿宋_GB2312" w:eastAsia="仿宋_GB2312" w:hint="eastAsia"/>
          <w:sz w:val="32"/>
          <w:szCs w:val="32"/>
        </w:rPr>
        <w:t>号）、《国务院办公厅关于促进全民健身和体育消费推动体育产业高质量发展的意见》（国办发〔</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43</w:t>
      </w:r>
      <w:r>
        <w:rPr>
          <w:rFonts w:ascii="仿宋_GB2312" w:eastAsia="仿宋_GB2312" w:hint="eastAsia"/>
          <w:sz w:val="32"/>
          <w:szCs w:val="32"/>
        </w:rPr>
        <w:t>号）、《自治区党委办公厅</w:t>
      </w:r>
      <w:r>
        <w:rPr>
          <w:rFonts w:ascii="仿宋_GB2312" w:eastAsia="仿宋_GB2312" w:hint="eastAsia"/>
          <w:sz w:val="32"/>
          <w:szCs w:val="32"/>
        </w:rPr>
        <w:t xml:space="preserve"> </w:t>
      </w:r>
      <w:r>
        <w:rPr>
          <w:rFonts w:ascii="仿宋_GB2312" w:eastAsia="仿宋_GB2312" w:hint="eastAsia"/>
          <w:sz w:val="32"/>
          <w:szCs w:val="32"/>
        </w:rPr>
        <w:t>自治区人民政府办公厅印发〈关于深化体育体制机制改革发展的若干意见〉的通知》（</w:t>
      </w:r>
      <w:proofErr w:type="gramStart"/>
      <w:r>
        <w:rPr>
          <w:rFonts w:ascii="仿宋_GB2312" w:eastAsia="仿宋_GB2312" w:hint="eastAsia"/>
          <w:sz w:val="32"/>
          <w:szCs w:val="32"/>
        </w:rPr>
        <w:t>桂办发</w:t>
      </w:r>
      <w:proofErr w:type="gramEnd"/>
      <w:r>
        <w:rPr>
          <w:rFonts w:ascii="仿宋_GB2312" w:eastAsia="仿宋_GB2312" w:hint="eastAsia"/>
          <w:sz w:val="32"/>
          <w:szCs w:val="32"/>
        </w:rPr>
        <w:t>〔</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28</w:t>
      </w:r>
      <w:r>
        <w:rPr>
          <w:rFonts w:ascii="仿宋_GB2312" w:eastAsia="仿宋_GB2312" w:hint="eastAsia"/>
          <w:sz w:val="32"/>
          <w:szCs w:val="32"/>
        </w:rPr>
        <w:t>号）、《广西壮族自治区人民政府办公厅关于印发广西体育强区建设行动实施方案的通知》（桂政办发〔</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36</w:t>
      </w:r>
      <w:r>
        <w:rPr>
          <w:rFonts w:ascii="仿宋_GB2312" w:eastAsia="仿宋_GB2312" w:hint="eastAsia"/>
          <w:sz w:val="32"/>
          <w:szCs w:val="32"/>
        </w:rPr>
        <w:t>号）等文件明确提出将体育作为全面深化改革、促进经济社会发展的重要内容，这将极大地激发体育发展活力。柳州体育事业的硬件建设和软件建设具备了由大向</w:t>
      </w:r>
      <w:proofErr w:type="gramStart"/>
      <w:r>
        <w:rPr>
          <w:rFonts w:ascii="仿宋_GB2312" w:eastAsia="仿宋_GB2312" w:hint="eastAsia"/>
          <w:sz w:val="32"/>
          <w:szCs w:val="32"/>
        </w:rPr>
        <w:t>强转变</w:t>
      </w:r>
      <w:proofErr w:type="gramEnd"/>
      <w:r>
        <w:rPr>
          <w:rFonts w:ascii="仿宋_GB2312" w:eastAsia="仿宋_GB2312" w:hint="eastAsia"/>
          <w:sz w:val="32"/>
          <w:szCs w:val="32"/>
        </w:rPr>
        <w:t>的基础，竞技体育人才培养体系、全民健身公共服务体系、体育竞赛运作体系、依法管理体系等多方面</w:t>
      </w:r>
      <w:r>
        <w:rPr>
          <w:rFonts w:ascii="仿宋_GB2312" w:eastAsia="仿宋_GB2312" w:hint="eastAsia"/>
          <w:sz w:val="32"/>
          <w:szCs w:val="32"/>
        </w:rPr>
        <w:lastRenderedPageBreak/>
        <w:t>都积累了一定经验，体育事业发展的良好氛围逐步形成，体育作为公共服务、社会治理、经济发展、改善民生、文化娱乐的功能正在产生积极而深远的作用和影响。</w:t>
      </w:r>
    </w:p>
    <w:p w14:paraId="7E5D2A5F" w14:textId="77777777" w:rsidR="008A5C83" w:rsidRDefault="00A7141B">
      <w:pPr>
        <w:pStyle w:val="3"/>
        <w:numPr>
          <w:ilvl w:val="0"/>
          <w:numId w:val="0"/>
        </w:numPr>
        <w:spacing w:before="0" w:after="0" w:line="240" w:lineRule="auto"/>
        <w:ind w:left="567"/>
        <w:rPr>
          <w:rFonts w:ascii="仿宋_GB2312" w:eastAsia="仿宋_GB2312"/>
          <w:sz w:val="32"/>
          <w:shd w:val="clear" w:color="auto" w:fill="FFFFFF"/>
        </w:rPr>
      </w:pPr>
      <w:bookmarkStart w:id="34" w:name="_Toc63006303"/>
      <w:bookmarkStart w:id="35" w:name="_Toc63006989"/>
      <w:r>
        <w:rPr>
          <w:rFonts w:ascii="仿宋_GB2312" w:eastAsia="仿宋_GB2312" w:hint="eastAsia"/>
          <w:sz w:val="32"/>
          <w:shd w:val="clear" w:color="auto" w:fill="FFFFFF"/>
        </w:rPr>
        <w:t xml:space="preserve"> 5.</w:t>
      </w:r>
      <w:r>
        <w:rPr>
          <w:rFonts w:ascii="仿宋_GB2312" w:eastAsia="仿宋_GB2312" w:hint="eastAsia"/>
          <w:sz w:val="32"/>
          <w:shd w:val="clear" w:color="auto" w:fill="FFFFFF"/>
        </w:rPr>
        <w:t>广西唯一人口净流入城市</w:t>
      </w:r>
      <w:bookmarkEnd w:id="34"/>
      <w:bookmarkEnd w:id="35"/>
    </w:p>
    <w:p w14:paraId="572F8335"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从</w:t>
      </w:r>
      <w:r>
        <w:rPr>
          <w:rFonts w:ascii="仿宋_GB2312" w:eastAsia="仿宋_GB2312" w:hint="eastAsia"/>
          <w:sz w:val="32"/>
          <w:szCs w:val="32"/>
        </w:rPr>
        <w:t>2000</w:t>
      </w:r>
      <w:r>
        <w:rPr>
          <w:rFonts w:ascii="仿宋_GB2312" w:eastAsia="仿宋_GB2312" w:hint="eastAsia"/>
          <w:sz w:val="32"/>
          <w:szCs w:val="32"/>
        </w:rPr>
        <w:t>年以来，城市常住人口多于户籍人口，柳州市成为广西唯一人口净流入城市。随着人们生活水平的提高，体育健身意识的增强，人口红利和城市化率壮大了体育消费规模，体育消费市场逐步扩大。经济总量及居民收入增长促成体育消费增长，扩大内需为体育产业发展提供了难得的机会。</w:t>
      </w:r>
    </w:p>
    <w:p w14:paraId="54C97C77" w14:textId="77777777" w:rsidR="008A5C83" w:rsidRDefault="00A7141B">
      <w:pPr>
        <w:pStyle w:val="2"/>
        <w:spacing w:before="0" w:after="0"/>
        <w:rPr>
          <w:color w:val="auto"/>
          <w:sz w:val="32"/>
        </w:rPr>
      </w:pPr>
      <w:bookmarkStart w:id="36" w:name="_Toc63006990"/>
      <w:r>
        <w:rPr>
          <w:rFonts w:hint="eastAsia"/>
          <w:color w:val="auto"/>
          <w:sz w:val="32"/>
        </w:rPr>
        <w:t xml:space="preserve">    </w:t>
      </w:r>
      <w:r>
        <w:rPr>
          <w:rFonts w:hint="eastAsia"/>
          <w:color w:val="auto"/>
          <w:sz w:val="32"/>
        </w:rPr>
        <w:t>（二）面临的挑战</w:t>
      </w:r>
      <w:bookmarkEnd w:id="36"/>
    </w:p>
    <w:p w14:paraId="50B8D6DE" w14:textId="77777777" w:rsidR="008A5C83" w:rsidRDefault="00A7141B">
      <w:pPr>
        <w:spacing w:line="240" w:lineRule="auto"/>
        <w:ind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突发公共事件带来的挑战</w:t>
      </w:r>
    </w:p>
    <w:p w14:paraId="5E17E33B" w14:textId="77777777" w:rsidR="008A5C83" w:rsidRDefault="00A7141B">
      <w:pPr>
        <w:spacing w:line="240" w:lineRule="auto"/>
        <w:ind w:firstLine="640"/>
        <w:rPr>
          <w:rFonts w:ascii="仿宋_GB2312" w:eastAsia="仿宋_GB2312" w:hAnsi="仿宋" w:cs="Times New Roman" w:hint="eastAsia"/>
          <w:bCs/>
          <w:sz w:val="32"/>
          <w:szCs w:val="32"/>
        </w:rPr>
      </w:pPr>
      <w:r>
        <w:rPr>
          <w:rFonts w:ascii="仿宋_GB2312" w:eastAsia="仿宋_GB2312" w:hAnsi="仿宋" w:cs="Times New Roman" w:hint="eastAsia"/>
          <w:bCs/>
          <w:sz w:val="32"/>
          <w:szCs w:val="32"/>
        </w:rPr>
        <w:t>新冠肺炎疫情给全球经济社会带来了深刻的影响，人们的生产、生活等活动正发生深刻的变革。体育运动因其具有竞技性、身体接触性等特点，致使疫情期间大量的体育赛事停办、场馆暂停开放、企业生产和销售停滞，体育行业成为受疫情冲击最严重的行业之一。面对挑战，一方</w:t>
      </w:r>
      <w:r>
        <w:rPr>
          <w:rFonts w:ascii="仿宋_GB2312" w:eastAsia="仿宋_GB2312" w:hAnsi="仿宋" w:cs="Times New Roman" w:hint="eastAsia"/>
          <w:bCs/>
          <w:sz w:val="32"/>
          <w:szCs w:val="32"/>
        </w:rPr>
        <w:lastRenderedPageBreak/>
        <w:t>面要尽快提振消费，推动市场复苏，守住体育企业尤其是中、小、</w:t>
      </w:r>
      <w:proofErr w:type="gramStart"/>
      <w:r>
        <w:rPr>
          <w:rFonts w:ascii="仿宋_GB2312" w:eastAsia="仿宋_GB2312" w:hAnsi="仿宋" w:cs="Times New Roman" w:hint="eastAsia"/>
          <w:bCs/>
          <w:sz w:val="32"/>
          <w:szCs w:val="32"/>
        </w:rPr>
        <w:t>微企业</w:t>
      </w:r>
      <w:proofErr w:type="gramEnd"/>
      <w:r>
        <w:rPr>
          <w:rFonts w:ascii="仿宋_GB2312" w:eastAsia="仿宋_GB2312" w:hAnsi="仿宋" w:cs="Times New Roman" w:hint="eastAsia"/>
          <w:bCs/>
          <w:sz w:val="32"/>
          <w:szCs w:val="32"/>
        </w:rPr>
        <w:t>的生命线</w:t>
      </w:r>
      <w:r>
        <w:rPr>
          <w:rFonts w:ascii="仿宋_GB2312" w:eastAsia="仿宋_GB2312" w:hAnsi="仿宋" w:cs="Times New Roman" w:hint="eastAsia"/>
          <w:bCs/>
          <w:color w:val="FF0000"/>
          <w:sz w:val="32"/>
          <w:szCs w:val="32"/>
        </w:rPr>
        <w:t>；</w:t>
      </w:r>
      <w:r>
        <w:rPr>
          <w:rFonts w:ascii="仿宋_GB2312" w:eastAsia="仿宋_GB2312" w:hAnsi="仿宋" w:cs="Times New Roman" w:hint="eastAsia"/>
          <w:bCs/>
          <w:sz w:val="32"/>
          <w:szCs w:val="32"/>
        </w:rPr>
        <w:t>另一方面要顺应疫情防控常态</w:t>
      </w:r>
      <w:proofErr w:type="gramStart"/>
      <w:r>
        <w:rPr>
          <w:rFonts w:ascii="仿宋_GB2312" w:eastAsia="仿宋_GB2312" w:hAnsi="仿宋" w:cs="Times New Roman" w:hint="eastAsia"/>
          <w:bCs/>
          <w:sz w:val="32"/>
          <w:szCs w:val="32"/>
        </w:rPr>
        <w:t>化需求</w:t>
      </w:r>
      <w:proofErr w:type="gramEnd"/>
      <w:r>
        <w:rPr>
          <w:rFonts w:ascii="仿宋_GB2312" w:eastAsia="仿宋_GB2312" w:hAnsi="仿宋" w:cs="Times New Roman" w:hint="eastAsia"/>
          <w:bCs/>
          <w:sz w:val="32"/>
          <w:szCs w:val="32"/>
        </w:rPr>
        <w:t>和人们健身方式的转变，从产品开发、宣传营销、运营管理等方面推动行业深度变革，才能在未来实现体育行业高质量发展，这对整个行业而言将是一项重大挑战。</w:t>
      </w:r>
    </w:p>
    <w:p w14:paraId="55752D71" w14:textId="77777777" w:rsidR="008A5C83" w:rsidRDefault="00A7141B">
      <w:pPr>
        <w:spacing w:line="240" w:lineRule="auto"/>
        <w:ind w:firstLine="643"/>
        <w:rPr>
          <w:rFonts w:ascii="仿宋_GB2312" w:eastAsia="仿宋_GB2312" w:hAnsi="仿宋" w:cs="Times New Roman" w:hint="eastAsia"/>
          <w:b/>
          <w:bCs/>
          <w:sz w:val="32"/>
          <w:szCs w:val="32"/>
        </w:rPr>
      </w:pPr>
      <w:r>
        <w:rPr>
          <w:rFonts w:ascii="仿宋_GB2312" w:eastAsia="仿宋_GB2312" w:hAnsi="仿宋" w:cs="Times New Roman" w:hint="eastAsia"/>
          <w:b/>
          <w:bCs/>
          <w:sz w:val="32"/>
          <w:szCs w:val="32"/>
        </w:rPr>
        <w:t>2.</w:t>
      </w:r>
      <w:r>
        <w:rPr>
          <w:rFonts w:ascii="仿宋_GB2312" w:eastAsia="仿宋_GB2312" w:hAnsi="仿宋" w:cs="Times New Roman" w:hint="eastAsia"/>
          <w:b/>
          <w:bCs/>
          <w:sz w:val="32"/>
          <w:szCs w:val="32"/>
        </w:rPr>
        <w:t>经济下行压力下面临的挑战</w:t>
      </w:r>
    </w:p>
    <w:p w14:paraId="0B5D2E2E" w14:textId="77777777" w:rsidR="008A5C83" w:rsidRDefault="00A7141B">
      <w:pPr>
        <w:spacing w:line="240" w:lineRule="auto"/>
        <w:ind w:firstLine="640"/>
        <w:rPr>
          <w:rFonts w:ascii="仿宋_GB2312" w:eastAsia="仿宋_GB2312"/>
          <w:sz w:val="32"/>
          <w:szCs w:val="32"/>
        </w:rPr>
      </w:pPr>
      <w:r>
        <w:rPr>
          <w:rFonts w:ascii="仿宋_GB2312" w:eastAsia="仿宋_GB2312" w:hAnsi="仿宋" w:cs="Times New Roman" w:hint="eastAsia"/>
          <w:bCs/>
          <w:sz w:val="32"/>
          <w:szCs w:val="32"/>
        </w:rPr>
        <w:t>当前，世界正面临百年未有之大变局，受到中美关系贸易摩擦、新冠疫情及地区冲突等不确定因素叠加影响，进入动荡变革期，国际国内经济增速总体放缓。造成的影响是企业及上下游产业</w:t>
      </w:r>
      <w:proofErr w:type="gramStart"/>
      <w:r>
        <w:rPr>
          <w:rFonts w:ascii="仿宋_GB2312" w:eastAsia="仿宋_GB2312" w:hAnsi="仿宋" w:cs="Times New Roman" w:hint="eastAsia"/>
          <w:bCs/>
          <w:sz w:val="32"/>
          <w:szCs w:val="32"/>
        </w:rPr>
        <w:t>链发展</w:t>
      </w:r>
      <w:proofErr w:type="gramEnd"/>
      <w:r>
        <w:rPr>
          <w:rFonts w:ascii="仿宋_GB2312" w:eastAsia="仿宋_GB2312" w:hAnsi="仿宋" w:cs="Times New Roman" w:hint="eastAsia"/>
          <w:bCs/>
          <w:sz w:val="32"/>
          <w:szCs w:val="32"/>
        </w:rPr>
        <w:t>受阻，地方财政收入紧张，人们生活支出受限，这对体育产业的发展带来了前所未有的挑战，尤其是体育竞赛表演、体育教育与培训、体育用品制造及销售、体育场馆运营管理等影响巨大。未来经济走势将呈现波动发展趋势，在波动发展的经济趋势背景下，如何壮大体育产业，并保持平稳增长是“十四五”期间面临的挑战。</w:t>
      </w:r>
    </w:p>
    <w:p w14:paraId="10C1644B" w14:textId="77777777" w:rsidR="008A5C83" w:rsidRDefault="00A7141B">
      <w:pPr>
        <w:pStyle w:val="1"/>
        <w:spacing w:before="0" w:after="0"/>
        <w:rPr>
          <w:rFonts w:ascii="黑体" w:eastAsia="黑体" w:hAnsi="黑体" w:hint="eastAsia"/>
        </w:rPr>
      </w:pPr>
      <w:bookmarkStart w:id="37" w:name="_Toc63006991"/>
      <w:bookmarkStart w:id="38" w:name="_Toc55920309"/>
      <w:r>
        <w:rPr>
          <w:rFonts w:hint="eastAsia"/>
        </w:rPr>
        <w:t xml:space="preserve">   </w:t>
      </w:r>
      <w:r>
        <w:rPr>
          <w:rFonts w:ascii="黑体" w:eastAsia="黑体" w:hAnsi="黑体" w:hint="eastAsia"/>
        </w:rPr>
        <w:t xml:space="preserve"> </w:t>
      </w:r>
      <w:r>
        <w:rPr>
          <w:rFonts w:ascii="黑体" w:eastAsia="黑体" w:hAnsi="黑体" w:hint="eastAsia"/>
        </w:rPr>
        <w:t>三、“十四五”期间体育发展的总体要求</w:t>
      </w:r>
      <w:bookmarkEnd w:id="37"/>
      <w:bookmarkEnd w:id="38"/>
    </w:p>
    <w:p w14:paraId="663152F5" w14:textId="77777777" w:rsidR="008A5C83" w:rsidRDefault="00A7141B">
      <w:pPr>
        <w:pStyle w:val="2"/>
        <w:spacing w:before="0" w:after="0"/>
        <w:rPr>
          <w:color w:val="auto"/>
          <w:sz w:val="32"/>
        </w:rPr>
      </w:pPr>
      <w:bookmarkStart w:id="39" w:name="_Toc63006992"/>
      <w:bookmarkStart w:id="40" w:name="_Toc55920310"/>
      <w:r>
        <w:rPr>
          <w:rFonts w:hint="eastAsia"/>
          <w:color w:val="auto"/>
          <w:sz w:val="32"/>
        </w:rPr>
        <w:lastRenderedPageBreak/>
        <w:t xml:space="preserve">   </w:t>
      </w:r>
      <w:r>
        <w:rPr>
          <w:rFonts w:hint="eastAsia"/>
          <w:color w:val="auto"/>
          <w:sz w:val="32"/>
        </w:rPr>
        <w:t>（一）指导思想</w:t>
      </w:r>
      <w:bookmarkEnd w:id="39"/>
      <w:bookmarkEnd w:id="40"/>
    </w:p>
    <w:p w14:paraId="0D48664F"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以习近平新时代中国特色社会主义思想为指导，全面贯彻党的十九大和十九届二中、三中、四中、五中全会精神，围绕党中央、国务院关于加快推进体育强国建设的决策部署</w:t>
      </w:r>
      <w:r>
        <w:rPr>
          <w:rFonts w:ascii="仿宋_GB2312" w:eastAsia="仿宋_GB2312" w:hint="eastAsia"/>
          <w:sz w:val="32"/>
          <w:szCs w:val="32"/>
        </w:rPr>
        <w:t>,</w:t>
      </w:r>
      <w:r>
        <w:rPr>
          <w:rFonts w:ascii="仿宋_GB2312" w:eastAsia="仿宋_GB2312" w:hint="eastAsia"/>
          <w:sz w:val="32"/>
          <w:szCs w:val="32"/>
        </w:rPr>
        <w:t>牢牢把握“建设壮美广西，共圆复兴梦想”总目标总要求，以增进人民福祉、促进人的全面发展为出发点和落脚点，进一步解放思想、深化改革、开拓创新，积极探索符合柳州实际的体育发展模式和管理机制，提升体育治理体系与治理能力现代化水平，提高柳州体育的综合实力和影响力，切实增强人民体质和健康水平、满足人民日益增长的多元化体育需求，推动健康柳州建设，为将柳州市打造成科技化、市场化、集群化、国际化的中国智造城、西部陆海新通道重要节点城市、西江经济带龙头城市的奋斗目标做出积极贡献。</w:t>
      </w:r>
    </w:p>
    <w:p w14:paraId="2D89AE5B" w14:textId="77777777" w:rsidR="008A5C83" w:rsidRDefault="00A7141B">
      <w:pPr>
        <w:pStyle w:val="2"/>
        <w:spacing w:before="0"/>
        <w:rPr>
          <w:color w:val="auto"/>
          <w:sz w:val="32"/>
        </w:rPr>
      </w:pPr>
      <w:bookmarkStart w:id="41" w:name="_Toc63006993"/>
      <w:r>
        <w:rPr>
          <w:rFonts w:hint="eastAsia"/>
          <w:color w:val="auto"/>
          <w:sz w:val="32"/>
        </w:rPr>
        <w:t xml:space="preserve">    </w:t>
      </w:r>
      <w:r>
        <w:rPr>
          <w:rFonts w:hint="eastAsia"/>
          <w:color w:val="auto"/>
          <w:sz w:val="32"/>
        </w:rPr>
        <w:t>（二）基本原则</w:t>
      </w:r>
      <w:bookmarkEnd w:id="41"/>
    </w:p>
    <w:p w14:paraId="15F2A1BE" w14:textId="77777777" w:rsidR="008A5C83" w:rsidRDefault="00A7141B">
      <w:pPr>
        <w:pStyle w:val="3"/>
        <w:numPr>
          <w:ilvl w:val="0"/>
          <w:numId w:val="0"/>
        </w:numPr>
        <w:spacing w:after="0" w:line="240" w:lineRule="auto"/>
        <w:ind w:firstLineChars="196" w:firstLine="630"/>
        <w:rPr>
          <w:rFonts w:ascii="仿宋_GB2312" w:eastAsia="仿宋_GB2312"/>
          <w:sz w:val="32"/>
        </w:rPr>
      </w:pPr>
      <w:bookmarkStart w:id="42" w:name="_Toc63006994"/>
      <w:bookmarkStart w:id="43" w:name="_Toc63006308"/>
      <w:r>
        <w:rPr>
          <w:rFonts w:ascii="仿宋_GB2312" w:eastAsia="仿宋_GB2312" w:hint="eastAsia"/>
          <w:sz w:val="32"/>
        </w:rPr>
        <w:t xml:space="preserve"> 1.</w:t>
      </w:r>
      <w:r>
        <w:rPr>
          <w:rFonts w:ascii="仿宋_GB2312" w:eastAsia="仿宋_GB2312" w:hint="eastAsia"/>
          <w:sz w:val="32"/>
        </w:rPr>
        <w:t>坚持以人为本</w:t>
      </w:r>
      <w:bookmarkEnd w:id="42"/>
      <w:bookmarkEnd w:id="43"/>
    </w:p>
    <w:p w14:paraId="1833B0D8"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落实全民健身国家战略，推进健康柳州建设，把体育</w:t>
      </w:r>
      <w:r>
        <w:rPr>
          <w:rFonts w:ascii="仿宋_GB2312" w:eastAsia="仿宋_GB2312" w:hint="eastAsia"/>
          <w:sz w:val="32"/>
          <w:szCs w:val="32"/>
        </w:rPr>
        <w:lastRenderedPageBreak/>
        <w:t>真正作为促进人的健康和幸福、与社会和谐发展的一项利国利民的全民事业来抓好，让体育成为柳州市民的一种生活方式，在共建共享中增加获得感和幸福感。</w:t>
      </w:r>
    </w:p>
    <w:p w14:paraId="12141880" w14:textId="77777777" w:rsidR="008A5C83" w:rsidRDefault="00A7141B">
      <w:pPr>
        <w:pStyle w:val="3"/>
        <w:numPr>
          <w:ilvl w:val="0"/>
          <w:numId w:val="0"/>
        </w:numPr>
        <w:spacing w:before="0" w:after="0" w:line="240" w:lineRule="auto"/>
        <w:ind w:left="567"/>
        <w:rPr>
          <w:rFonts w:ascii="仿宋_GB2312" w:eastAsia="仿宋_GB2312"/>
          <w:sz w:val="32"/>
        </w:rPr>
      </w:pPr>
      <w:bookmarkStart w:id="44" w:name="_Toc63006309"/>
      <w:bookmarkStart w:id="45" w:name="_Toc63006995"/>
      <w:r>
        <w:rPr>
          <w:rFonts w:ascii="仿宋_GB2312" w:eastAsia="仿宋_GB2312" w:hint="eastAsia"/>
          <w:sz w:val="32"/>
        </w:rPr>
        <w:t xml:space="preserve"> 2.</w:t>
      </w:r>
      <w:r>
        <w:rPr>
          <w:rFonts w:ascii="仿宋_GB2312" w:eastAsia="仿宋_GB2312" w:hint="eastAsia"/>
          <w:sz w:val="32"/>
        </w:rPr>
        <w:t>坚持统筹协调</w:t>
      </w:r>
      <w:bookmarkEnd w:id="44"/>
      <w:bookmarkEnd w:id="45"/>
    </w:p>
    <w:p w14:paraId="27FCABA9"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遵循现代体育发展内在规律，促进体育和经济社会发展相协调，推动群众体育、竞技体育、青少年体育、体育产业全面协调发展。推进体育产业各门类和业</w:t>
      </w:r>
      <w:proofErr w:type="gramStart"/>
      <w:r>
        <w:rPr>
          <w:rFonts w:ascii="仿宋_GB2312" w:eastAsia="仿宋_GB2312" w:hint="eastAsia"/>
          <w:sz w:val="32"/>
          <w:szCs w:val="32"/>
        </w:rPr>
        <w:t>态全面</w:t>
      </w:r>
      <w:proofErr w:type="gramEnd"/>
      <w:r>
        <w:rPr>
          <w:rFonts w:ascii="仿宋_GB2312" w:eastAsia="仿宋_GB2312" w:hint="eastAsia"/>
          <w:sz w:val="32"/>
          <w:szCs w:val="32"/>
        </w:rPr>
        <w:t>发展，促进体育产业与其他产业相互融合，实现体育产业与经济社会协调发展。坚持推进公共体育服务均等化，加强落后地区体育基础建设，促进城乡体育协调发展。</w:t>
      </w:r>
    </w:p>
    <w:p w14:paraId="23523EF9" w14:textId="77777777" w:rsidR="008A5C83" w:rsidRDefault="00A7141B">
      <w:pPr>
        <w:pStyle w:val="3"/>
        <w:numPr>
          <w:ilvl w:val="0"/>
          <w:numId w:val="0"/>
        </w:numPr>
        <w:spacing w:before="0" w:after="0" w:line="240" w:lineRule="auto"/>
        <w:ind w:left="567"/>
        <w:rPr>
          <w:rFonts w:ascii="仿宋_GB2312" w:eastAsia="仿宋_GB2312"/>
          <w:sz w:val="32"/>
        </w:rPr>
      </w:pPr>
      <w:bookmarkStart w:id="46" w:name="_Toc63006310"/>
      <w:bookmarkStart w:id="47" w:name="_Toc63006996"/>
      <w:r>
        <w:rPr>
          <w:rFonts w:ascii="仿宋_GB2312" w:eastAsia="仿宋_GB2312" w:hint="eastAsia"/>
          <w:sz w:val="32"/>
        </w:rPr>
        <w:t xml:space="preserve"> 3.</w:t>
      </w:r>
      <w:r>
        <w:rPr>
          <w:rFonts w:ascii="仿宋_GB2312" w:eastAsia="仿宋_GB2312" w:hint="eastAsia"/>
          <w:sz w:val="32"/>
        </w:rPr>
        <w:t>坚持改革创新</w:t>
      </w:r>
      <w:bookmarkEnd w:id="46"/>
      <w:bookmarkEnd w:id="47"/>
    </w:p>
    <w:p w14:paraId="2546A25D"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充分认识创新在体育发展中的重要作用，推进体育在制度、科技、文化、人才方面的全面创新。以改革促发展，通过法治建设和政府职能转变创新体制机制，推动新理念、新技术、新业态和新的管理模式在体育行业中涌现。创新发展方式，利用后发优势，借鉴先进经验，走协调、可持续的体育发展道路。</w:t>
      </w:r>
    </w:p>
    <w:p w14:paraId="21CF7D57" w14:textId="77777777" w:rsidR="008A5C83" w:rsidRDefault="00A7141B">
      <w:pPr>
        <w:spacing w:line="240" w:lineRule="auto"/>
        <w:ind w:firstLine="643"/>
        <w:rPr>
          <w:rFonts w:ascii="仿宋_GB2312" w:eastAsia="仿宋_GB2312"/>
          <w:sz w:val="32"/>
          <w:szCs w:val="32"/>
        </w:rPr>
      </w:pPr>
      <w:r>
        <w:rPr>
          <w:rFonts w:ascii="仿宋_GB2312" w:eastAsia="仿宋_GB2312" w:hAnsi="黑体" w:hint="eastAsia"/>
          <w:b/>
          <w:sz w:val="32"/>
          <w:szCs w:val="32"/>
        </w:rPr>
        <w:lastRenderedPageBreak/>
        <w:t>——坚持因地制宜。</w:t>
      </w:r>
      <w:r>
        <w:rPr>
          <w:rFonts w:ascii="仿宋_GB2312" w:eastAsia="仿宋_GB2312" w:hint="eastAsia"/>
          <w:sz w:val="32"/>
          <w:szCs w:val="32"/>
        </w:rPr>
        <w:t>立足柳州体育发展特色及现状，充分发挥柳州市区位、资源和生态条件的优势，将现代体育精神同地域文化、民族传统文化相结合。固本强基，补齐短板，优先解决制约柳州体育发展的基础性因素，既重视资金、设施等硬实力的补充，又重视与人才、科技与管理技术等</w:t>
      </w:r>
      <w:proofErr w:type="gramStart"/>
      <w:r>
        <w:rPr>
          <w:rFonts w:ascii="仿宋_GB2312" w:eastAsia="仿宋_GB2312" w:hint="eastAsia"/>
          <w:sz w:val="32"/>
          <w:szCs w:val="32"/>
        </w:rPr>
        <w:t>软实力</w:t>
      </w:r>
      <w:proofErr w:type="gramEnd"/>
      <w:r>
        <w:rPr>
          <w:rFonts w:ascii="仿宋_GB2312" w:eastAsia="仿宋_GB2312" w:hint="eastAsia"/>
          <w:sz w:val="32"/>
          <w:szCs w:val="32"/>
        </w:rPr>
        <w:t>的构建。</w:t>
      </w:r>
    </w:p>
    <w:p w14:paraId="300824E2" w14:textId="77777777" w:rsidR="008A5C83" w:rsidRDefault="00A7141B">
      <w:pPr>
        <w:spacing w:line="240" w:lineRule="auto"/>
        <w:ind w:firstLine="643"/>
        <w:rPr>
          <w:rFonts w:ascii="仿宋_GB2312" w:eastAsia="仿宋_GB2312"/>
          <w:sz w:val="32"/>
          <w:szCs w:val="32"/>
        </w:rPr>
      </w:pPr>
      <w:r>
        <w:rPr>
          <w:rFonts w:ascii="仿宋_GB2312" w:eastAsia="仿宋_GB2312" w:hAnsi="黑体" w:hint="eastAsia"/>
          <w:b/>
          <w:sz w:val="32"/>
          <w:szCs w:val="32"/>
        </w:rPr>
        <w:t>——坚持开放共赢。</w:t>
      </w:r>
      <w:r>
        <w:rPr>
          <w:rFonts w:ascii="仿宋_GB2312" w:eastAsia="仿宋_GB2312" w:hint="eastAsia"/>
          <w:sz w:val="32"/>
          <w:szCs w:val="32"/>
        </w:rPr>
        <w:t>充分利用“一带一路”建设和中国</w:t>
      </w:r>
      <w:r>
        <w:rPr>
          <w:rFonts w:ascii="仿宋_GB2312" w:eastAsia="仿宋_GB2312" w:hint="eastAsia"/>
          <w:sz w:val="32"/>
          <w:szCs w:val="32"/>
        </w:rPr>
        <w:t>-</w:t>
      </w:r>
      <w:r>
        <w:rPr>
          <w:rFonts w:ascii="仿宋_GB2312" w:eastAsia="仿宋_GB2312" w:hint="eastAsia"/>
          <w:sz w:val="32"/>
          <w:szCs w:val="32"/>
        </w:rPr>
        <w:t>东盟联系日益紧密的国际环境，积极衔接“粤港澳大湾区”、“西部陆海新通道”、“珠江</w:t>
      </w:r>
      <w:r>
        <w:rPr>
          <w:rFonts w:ascii="仿宋_GB2312" w:eastAsia="仿宋_GB2312" w:hint="eastAsia"/>
          <w:sz w:val="32"/>
          <w:szCs w:val="32"/>
        </w:rPr>
        <w:t>-</w:t>
      </w:r>
      <w:r>
        <w:rPr>
          <w:rFonts w:ascii="仿宋_GB2312" w:eastAsia="仿宋_GB2312" w:hint="eastAsia"/>
          <w:sz w:val="32"/>
          <w:szCs w:val="32"/>
        </w:rPr>
        <w:t>西江经济带”、“粤桂黔高铁经济带”等国家区域战略，坚持“请进来，走出去”相结合</w:t>
      </w:r>
      <w:r>
        <w:rPr>
          <w:rFonts w:ascii="仿宋_GB2312" w:eastAsia="仿宋_GB2312" w:hint="eastAsia"/>
          <w:sz w:val="32"/>
          <w:szCs w:val="32"/>
        </w:rPr>
        <w:t>,</w:t>
      </w:r>
      <w:r>
        <w:rPr>
          <w:rFonts w:ascii="仿宋_GB2312" w:eastAsia="仿宋_GB2312" w:hint="eastAsia"/>
          <w:sz w:val="32"/>
          <w:szCs w:val="32"/>
        </w:rPr>
        <w:t>拓展体育理论、项目、赛事、人才、设备等的国际交流渠道，扩大国际间体育对外交流合作。发挥体育在对外交往中的综合功能和独特作用，把体育发展融入柳州市整体发展战略中，建设面向国际的开放型体育发展格局。</w:t>
      </w:r>
    </w:p>
    <w:p w14:paraId="437BC75F" w14:textId="77777777" w:rsidR="008A5C83" w:rsidRDefault="00A7141B">
      <w:pPr>
        <w:spacing w:line="240" w:lineRule="auto"/>
        <w:ind w:firstLine="643"/>
        <w:rPr>
          <w:rFonts w:ascii="仿宋_GB2312" w:eastAsia="仿宋_GB2312"/>
          <w:sz w:val="32"/>
          <w:szCs w:val="32"/>
        </w:rPr>
      </w:pPr>
      <w:r>
        <w:rPr>
          <w:rFonts w:ascii="仿宋_GB2312" w:eastAsia="仿宋_GB2312" w:hAnsi="黑体" w:hint="eastAsia"/>
          <w:b/>
          <w:sz w:val="32"/>
          <w:szCs w:val="32"/>
        </w:rPr>
        <w:t>——坚持绿色发展。</w:t>
      </w:r>
      <w:r>
        <w:rPr>
          <w:rFonts w:ascii="仿宋_GB2312" w:eastAsia="仿宋_GB2312" w:hint="eastAsia"/>
          <w:sz w:val="32"/>
          <w:szCs w:val="32"/>
        </w:rPr>
        <w:t>将体育发展同生态绿色发展统一起来，充分发挥体育行业绿色低碳的发展优势，在体育设施建设和开展健身休闲活动中倡导节能节俭，打造与资源</w:t>
      </w:r>
      <w:r>
        <w:rPr>
          <w:rFonts w:ascii="仿宋_GB2312" w:eastAsia="仿宋_GB2312" w:hint="eastAsia"/>
          <w:sz w:val="32"/>
          <w:szCs w:val="32"/>
        </w:rPr>
        <w:lastRenderedPageBreak/>
        <w:t>环境条件相契合的集约型发展方式。积极推进健康关口前移，服务健康柳州建设。</w:t>
      </w:r>
    </w:p>
    <w:p w14:paraId="7E9C561C" w14:textId="77777777" w:rsidR="008A5C83" w:rsidRDefault="00A7141B">
      <w:pPr>
        <w:spacing w:line="240" w:lineRule="auto"/>
        <w:ind w:firstLine="643"/>
        <w:rPr>
          <w:rFonts w:ascii="仿宋_GB2312" w:eastAsia="仿宋_GB2312"/>
          <w:b/>
          <w:sz w:val="32"/>
          <w:szCs w:val="32"/>
        </w:rPr>
      </w:pPr>
      <w:r>
        <w:rPr>
          <w:rFonts w:ascii="仿宋_GB2312" w:eastAsia="仿宋_GB2312" w:hint="eastAsia"/>
          <w:b/>
          <w:sz w:val="32"/>
          <w:szCs w:val="32"/>
        </w:rPr>
        <w:t>4.</w:t>
      </w:r>
      <w:r>
        <w:rPr>
          <w:rFonts w:ascii="仿宋_GB2312" w:eastAsia="仿宋_GB2312" w:hint="eastAsia"/>
          <w:b/>
          <w:sz w:val="32"/>
          <w:szCs w:val="32"/>
        </w:rPr>
        <w:t>坚持融合发展</w:t>
      </w:r>
    </w:p>
    <w:p w14:paraId="4EA05EC4"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顺应“体育</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体育”融合大背景，推动柳州市体育产品向休闲健身，健康养生、科普</w:t>
      </w:r>
      <w:proofErr w:type="gramStart"/>
      <w:r>
        <w:rPr>
          <w:rFonts w:ascii="仿宋_GB2312" w:eastAsia="仿宋_GB2312" w:hint="eastAsia"/>
          <w:sz w:val="32"/>
          <w:szCs w:val="32"/>
        </w:rPr>
        <w:t>研</w:t>
      </w:r>
      <w:proofErr w:type="gramEnd"/>
      <w:r>
        <w:rPr>
          <w:rFonts w:ascii="仿宋_GB2312" w:eastAsia="仿宋_GB2312" w:hint="eastAsia"/>
          <w:sz w:val="32"/>
          <w:szCs w:val="32"/>
        </w:rPr>
        <w:t>学等复合型升级。推动体育与文化、旅游、工业、农业、林业、科技、教育等多行业跨界融合发展，重点培育体育新型业态，延伸体育产业链条，提升柳州体育融合发展水平。</w:t>
      </w:r>
    </w:p>
    <w:p w14:paraId="796062EF" w14:textId="77777777" w:rsidR="008A5C83" w:rsidRDefault="00A7141B">
      <w:pPr>
        <w:pStyle w:val="2"/>
        <w:spacing w:line="240" w:lineRule="auto"/>
        <w:rPr>
          <w:rFonts w:ascii="仿宋_GB2312" w:eastAsia="仿宋_GB2312"/>
          <w:color w:val="auto"/>
          <w:sz w:val="32"/>
        </w:rPr>
      </w:pPr>
      <w:bookmarkStart w:id="48" w:name="_Toc63006997"/>
      <w:bookmarkStart w:id="49" w:name="_Toc55920311"/>
      <w:bookmarkStart w:id="50" w:name="_Toc63006311"/>
      <w:r>
        <w:rPr>
          <w:rFonts w:ascii="仿宋_GB2312" w:eastAsia="仿宋_GB2312" w:hint="eastAsia"/>
          <w:color w:val="auto"/>
          <w:sz w:val="32"/>
        </w:rPr>
        <w:t xml:space="preserve">    </w:t>
      </w:r>
      <w:r>
        <w:rPr>
          <w:rFonts w:ascii="仿宋_GB2312" w:eastAsia="仿宋_GB2312" w:hint="eastAsia"/>
          <w:color w:val="auto"/>
          <w:sz w:val="32"/>
        </w:rPr>
        <w:t>（三）发展目标</w:t>
      </w:r>
      <w:bookmarkEnd w:id="48"/>
      <w:bookmarkEnd w:id="49"/>
      <w:bookmarkEnd w:id="50"/>
    </w:p>
    <w:p w14:paraId="01C073F2"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认真贯彻执行《关于深化体育体制机制改革发展的若干意见》、《广西体育强区建设行动实施方案》，到</w:t>
      </w:r>
      <w:r>
        <w:rPr>
          <w:rFonts w:ascii="仿宋_GB2312" w:eastAsia="仿宋_GB2312"/>
          <w:sz w:val="32"/>
          <w:szCs w:val="32"/>
        </w:rPr>
        <w:t>202</w:t>
      </w:r>
      <w:r>
        <w:rPr>
          <w:rFonts w:ascii="仿宋_GB2312" w:eastAsia="仿宋_GB2312" w:hint="eastAsia"/>
          <w:sz w:val="32"/>
          <w:szCs w:val="32"/>
        </w:rPr>
        <w:t>5</w:t>
      </w:r>
      <w:r>
        <w:rPr>
          <w:rFonts w:ascii="仿宋_GB2312" w:eastAsia="仿宋_GB2312" w:hint="eastAsia"/>
          <w:sz w:val="32"/>
          <w:szCs w:val="32"/>
        </w:rPr>
        <w:t>年，建立与全面建成小康社会相适应的体育发展新机制，全民健身意识普遍增强，群众身体素质和健康水平持续提高，率先在全区实现公共体育服务的高质量、均等化；促进体育事业与教育、医疗、文化、旅游等行业深度融合，积极创建</w:t>
      </w:r>
      <w:r>
        <w:rPr>
          <w:rFonts w:ascii="仿宋_GB2312" w:eastAsia="仿宋_GB2312" w:hint="eastAsia"/>
          <w:sz w:val="32"/>
          <w:szCs w:val="32"/>
        </w:rPr>
        <w:t xml:space="preserve"> </w:t>
      </w:r>
      <w:r>
        <w:rPr>
          <w:rFonts w:ascii="仿宋_GB2312" w:eastAsia="仿宋_GB2312" w:hint="eastAsia"/>
          <w:sz w:val="32"/>
          <w:szCs w:val="32"/>
        </w:rPr>
        <w:t>“广西体育旅游示范市”和全民健身与全民健康深度融合示范项目，打造与柳州经济社会发展相适应的体</w:t>
      </w:r>
      <w:r>
        <w:rPr>
          <w:rFonts w:ascii="仿宋_GB2312" w:eastAsia="仿宋_GB2312" w:hint="eastAsia"/>
          <w:sz w:val="32"/>
          <w:szCs w:val="32"/>
        </w:rPr>
        <w:lastRenderedPageBreak/>
        <w:t>育强市。</w:t>
      </w:r>
    </w:p>
    <w:p w14:paraId="4F2CCDF9"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加快转变政府职能，完善全民健身组织保障体系，打造党政领导牵头、部门协同、群众广泛参与的全民健身工作领导体制与协调机制，积极培育体育社会组织；健全全民健身政策保障体系，贯彻落实党中央、国务院关于健康中国、体育强国、全民健身、体育产业等配合出台的相关政策文件，结合柳州体育事业的特点和现状，制定行之有效的文件措施。搭建智慧体育平台，实现各类体育资源信息的高度共享</w:t>
      </w:r>
      <w:r>
        <w:rPr>
          <w:rFonts w:ascii="仿宋_GB2312" w:eastAsia="仿宋_GB2312" w:hint="eastAsia"/>
          <w:sz w:val="32"/>
          <w:szCs w:val="32"/>
        </w:rPr>
        <w:t>,</w:t>
      </w:r>
      <w:r>
        <w:rPr>
          <w:rFonts w:ascii="仿宋_GB2312" w:eastAsia="仿宋_GB2312" w:hint="eastAsia"/>
          <w:sz w:val="32"/>
          <w:szCs w:val="32"/>
        </w:rPr>
        <w:t>进一步优化全市体育资源配置，最终大幅提高全社会对体育资源的利用效率。</w:t>
      </w:r>
    </w:p>
    <w:p w14:paraId="04E6B91B"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在全区率先实现城乡公共体育服务体系高质量、均等化发展。继续完善体育公园、健身步道等设施的建设，推进落实重点项目打造城乡一体化的公共体育服务体系，推动企事业单位和中小学体育设施面向社会开放；提升全民健身公共服务水平，不断壮大社会体育指导员队伍。广泛开展全民健身活动，吸引社会资本投入和社会力量参与程度。至</w:t>
      </w:r>
      <w:r>
        <w:rPr>
          <w:rFonts w:ascii="仿宋_GB2312" w:eastAsia="仿宋_GB2312" w:hint="eastAsia"/>
          <w:sz w:val="32"/>
          <w:szCs w:val="32"/>
        </w:rPr>
        <w:t>2025</w:t>
      </w:r>
      <w:r>
        <w:rPr>
          <w:rFonts w:ascii="仿宋_GB2312" w:eastAsia="仿宋_GB2312" w:hint="eastAsia"/>
          <w:sz w:val="32"/>
          <w:szCs w:val="32"/>
        </w:rPr>
        <w:t>年，全市人均体育场地面积达到</w:t>
      </w:r>
      <w:r>
        <w:rPr>
          <w:rFonts w:ascii="仿宋_GB2312" w:eastAsia="仿宋_GB2312" w:hint="eastAsia"/>
          <w:sz w:val="32"/>
          <w:szCs w:val="32"/>
        </w:rPr>
        <w:t>3.2</w:t>
      </w:r>
      <w:r>
        <w:rPr>
          <w:rFonts w:ascii="仿宋_GB2312" w:eastAsia="仿宋_GB2312" w:hint="eastAsia"/>
          <w:sz w:val="32"/>
          <w:szCs w:val="32"/>
        </w:rPr>
        <w:lastRenderedPageBreak/>
        <w:t>平方米以上，经常参加体育锻炼的人口比例达到</w:t>
      </w:r>
      <w:r>
        <w:rPr>
          <w:rFonts w:ascii="仿宋_GB2312" w:eastAsia="仿宋_GB2312" w:hint="eastAsia"/>
          <w:sz w:val="32"/>
          <w:szCs w:val="32"/>
        </w:rPr>
        <w:t>45%</w:t>
      </w:r>
      <w:r>
        <w:rPr>
          <w:rFonts w:ascii="仿宋_GB2312" w:eastAsia="仿宋_GB2312" w:hint="eastAsia"/>
          <w:sz w:val="32"/>
          <w:szCs w:val="32"/>
        </w:rPr>
        <w:t>、保持</w:t>
      </w:r>
      <w:r>
        <w:rPr>
          <w:rFonts w:ascii="仿宋_GB2312" w:eastAsia="仿宋_GB2312" w:hint="eastAsia"/>
          <w:sz w:val="32"/>
          <w:szCs w:val="32"/>
        </w:rPr>
        <w:t>41%</w:t>
      </w:r>
      <w:r>
        <w:rPr>
          <w:rFonts w:ascii="仿宋_GB2312" w:eastAsia="仿宋_GB2312" w:hint="eastAsia"/>
          <w:sz w:val="32"/>
          <w:szCs w:val="32"/>
        </w:rPr>
        <w:t>以上。</w:t>
      </w:r>
    </w:p>
    <w:p w14:paraId="2257FDA7"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促进体育事业与教育、医疗、文化、旅游等行业深度融合，实施全民健身行动，助力健康柳州建设，促进全民健身和全民健康的深度融合。完善全民健身和全民健康在理念、机制、政策、规划、组织、设施、队伍、活动等方面的融合；积极创建深度融合示范项目。</w:t>
      </w:r>
    </w:p>
    <w:p w14:paraId="24AAB607"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——竞技体育综合实力更加突出，打造体育强市，稳步提升竞技水平。全面贯彻实施自治区制定的竞技体育重振雄风工程，推进</w:t>
      </w:r>
      <w:r>
        <w:rPr>
          <w:rFonts w:ascii="仿宋_GB2312" w:eastAsia="仿宋_GB2312" w:hint="eastAsia"/>
          <w:sz w:val="32"/>
          <w:szCs w:val="32"/>
        </w:rPr>
        <w:t>市体育运动学校强基础补弱项工程，加大社会“合作共建”培训基地建设。</w:t>
      </w:r>
      <w:r>
        <w:rPr>
          <w:rFonts w:ascii="仿宋_GB2312" w:eastAsia="仿宋_GB2312" w:hint="eastAsia"/>
          <w:sz w:val="32"/>
          <w:szCs w:val="32"/>
        </w:rPr>
        <w:t>培育品牌体育赛事，提升承办重大体育赛事能力，强化竞技体育水平，力争</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2025</w:t>
      </w:r>
      <w:r>
        <w:rPr>
          <w:rFonts w:ascii="仿宋_GB2312" w:eastAsia="仿宋_GB2312" w:hint="eastAsia"/>
          <w:sz w:val="32"/>
          <w:szCs w:val="32"/>
        </w:rPr>
        <w:t>年市运会能刷新多项市纪录，</w:t>
      </w:r>
      <w:r>
        <w:rPr>
          <w:rFonts w:ascii="仿宋_GB2312" w:eastAsia="仿宋_GB2312" w:hint="eastAsia"/>
          <w:sz w:val="32"/>
          <w:szCs w:val="32"/>
        </w:rPr>
        <w:t>2022</w:t>
      </w:r>
      <w:r>
        <w:rPr>
          <w:rFonts w:ascii="仿宋_GB2312" w:eastAsia="仿宋_GB2312" w:hint="eastAsia"/>
          <w:sz w:val="32"/>
          <w:szCs w:val="32"/>
        </w:rPr>
        <w:t>年自治区第十五届运动会成绩在全区继续保持前列。</w:t>
      </w:r>
    </w:p>
    <w:p w14:paraId="4415F386"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——实施</w:t>
      </w:r>
      <w:r>
        <w:rPr>
          <w:rFonts w:ascii="仿宋_GB2312" w:eastAsia="仿宋_GB2312" w:hint="eastAsia"/>
          <w:sz w:val="32"/>
          <w:szCs w:val="32"/>
        </w:rPr>
        <w:t>体教融合，促进柳州青少年健康发展。</w:t>
      </w:r>
      <w:r>
        <w:rPr>
          <w:rFonts w:ascii="仿宋_GB2312" w:eastAsia="仿宋_GB2312" w:hint="eastAsia"/>
          <w:sz w:val="32"/>
          <w:szCs w:val="32"/>
        </w:rPr>
        <w:t>筑牢青少年健康和体育后备人才基础，实施青少年体育活动促进计划。完善青少年体育竞赛制度，探索建立主体多元、</w:t>
      </w:r>
      <w:r>
        <w:rPr>
          <w:rFonts w:ascii="仿宋_GB2312" w:eastAsia="仿宋_GB2312" w:hint="eastAsia"/>
          <w:sz w:val="32"/>
          <w:szCs w:val="32"/>
        </w:rPr>
        <w:lastRenderedPageBreak/>
        <w:t>形式多样和灵活的赛制，精心打造青少年体育品牌赛事。推动体校与优质中、小学合作，培育青少年的体育兴趣和运动技能，养成终身体育的习惯</w:t>
      </w:r>
      <w:r>
        <w:rPr>
          <w:rFonts w:ascii="仿宋_GB2312" w:eastAsia="仿宋_GB2312" w:hint="eastAsia"/>
          <w:sz w:val="32"/>
          <w:szCs w:val="32"/>
        </w:rPr>
        <w:t>。</w:t>
      </w:r>
    </w:p>
    <w:p w14:paraId="192C3260"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实施体育产业跨越发展行动，培育经济发展新动能，推进体育产业跨越式发展。以打造“广西体育旅游示范市”为契机，深化“放管服”改革，释放体育产业发展潜能。以体育旅游产业作为体育产业的重要支柱，旅游业转型升级的引擎建立现代体育产业体系，积极培育潜在需求大的体育消费新业态。倡导跨界融合，努力发展以体育竞赛</w:t>
      </w:r>
      <w:proofErr w:type="gramStart"/>
      <w:r>
        <w:rPr>
          <w:rFonts w:ascii="仿宋_GB2312" w:eastAsia="仿宋_GB2312" w:hint="eastAsia"/>
          <w:sz w:val="32"/>
          <w:szCs w:val="32"/>
        </w:rPr>
        <w:t>表演业</w:t>
      </w:r>
      <w:proofErr w:type="gramEnd"/>
      <w:r>
        <w:rPr>
          <w:rFonts w:ascii="仿宋_GB2312" w:eastAsia="仿宋_GB2312" w:hint="eastAsia"/>
          <w:sz w:val="32"/>
          <w:szCs w:val="32"/>
        </w:rPr>
        <w:t>和体育教育培训业为代表的示范产业。构建体育产业统计体系，建立健全柳州市体育产业名录库。</w:t>
      </w:r>
    </w:p>
    <w:p w14:paraId="4F95466B"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——推动足球事业不断发展，以《中国足球改革发展总体方案》为指导，改革创新协会管理体系，完善足球设施，培育足球专业人才，推广校园足球运动。办好区域等级赛事、青少年等级赛事、校园足球赛事。</w:t>
      </w:r>
    </w:p>
    <w:p w14:paraId="2CBB63E5" w14:textId="77777777" w:rsidR="008A5C83" w:rsidRDefault="00A7141B">
      <w:pPr>
        <w:pStyle w:val="1"/>
        <w:spacing w:before="0" w:after="0"/>
        <w:rPr>
          <w:rFonts w:ascii="黑体" w:eastAsia="黑体" w:hAnsi="黑体" w:hint="eastAsia"/>
        </w:rPr>
      </w:pPr>
      <w:bookmarkStart w:id="51" w:name="_Toc55920312"/>
      <w:bookmarkStart w:id="52" w:name="_Toc63006998"/>
      <w:r>
        <w:rPr>
          <w:rFonts w:hint="eastAsia"/>
        </w:rPr>
        <w:t xml:space="preserve">     </w:t>
      </w:r>
      <w:r>
        <w:rPr>
          <w:rFonts w:ascii="黑体" w:eastAsia="黑体" w:hAnsi="黑体" w:hint="eastAsia"/>
        </w:rPr>
        <w:t>四、主要任务和措施</w:t>
      </w:r>
      <w:bookmarkEnd w:id="51"/>
      <w:bookmarkEnd w:id="52"/>
    </w:p>
    <w:p w14:paraId="2BF406AF" w14:textId="77777777" w:rsidR="008A5C83" w:rsidRDefault="00A7141B">
      <w:pPr>
        <w:pStyle w:val="2"/>
        <w:rPr>
          <w:color w:val="auto"/>
          <w:sz w:val="32"/>
        </w:rPr>
      </w:pPr>
      <w:bookmarkStart w:id="53" w:name="_Toc55920313"/>
      <w:bookmarkStart w:id="54" w:name="_Toc63006999"/>
      <w:r>
        <w:rPr>
          <w:rFonts w:hint="eastAsia"/>
          <w:color w:val="auto"/>
          <w:sz w:val="32"/>
        </w:rPr>
        <w:t xml:space="preserve">    </w:t>
      </w:r>
      <w:r>
        <w:rPr>
          <w:rFonts w:hint="eastAsia"/>
          <w:color w:val="auto"/>
          <w:sz w:val="32"/>
        </w:rPr>
        <w:t>（一）深化体育机制改革，建立“大体育”工作格局</w:t>
      </w:r>
      <w:bookmarkEnd w:id="53"/>
      <w:bookmarkEnd w:id="54"/>
    </w:p>
    <w:p w14:paraId="4BB12DC8" w14:textId="77777777" w:rsidR="008A5C83" w:rsidRDefault="00A7141B">
      <w:pPr>
        <w:pStyle w:val="3"/>
        <w:numPr>
          <w:ilvl w:val="0"/>
          <w:numId w:val="0"/>
        </w:numPr>
        <w:spacing w:line="240" w:lineRule="auto"/>
        <w:ind w:firstLineChars="196" w:firstLine="630"/>
        <w:rPr>
          <w:rFonts w:ascii="仿宋_GB2312" w:eastAsia="仿宋_GB2312"/>
          <w:sz w:val="32"/>
        </w:rPr>
      </w:pPr>
      <w:bookmarkStart w:id="55" w:name="_Toc63006314"/>
      <w:bookmarkStart w:id="56" w:name="_Toc63007000"/>
      <w:r>
        <w:rPr>
          <w:rFonts w:ascii="仿宋_GB2312" w:eastAsia="仿宋_GB2312" w:hint="eastAsia"/>
          <w:sz w:val="32"/>
        </w:rPr>
        <w:lastRenderedPageBreak/>
        <w:t>1.</w:t>
      </w:r>
      <w:r>
        <w:rPr>
          <w:rFonts w:ascii="仿宋_GB2312" w:eastAsia="仿宋_GB2312" w:hint="eastAsia"/>
          <w:sz w:val="32"/>
        </w:rPr>
        <w:t>加快政府职能转变，转变体育发展方式</w:t>
      </w:r>
      <w:bookmarkEnd w:id="55"/>
      <w:bookmarkEnd w:id="56"/>
    </w:p>
    <w:p w14:paraId="67363310"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提高引领转变体育发展方式的能力，把转变体育发展方式纳入经济社会转型升级总体战略，加强科学谋划、顶层设计和统筹协调；加快转变政府体育职能，理顺管理、调控、经办、服务、监督等各个环节，构建适应体育发展方式转变的良好运行机制。牢牢把握转变体育发展方式的主线，加强研究部署，尽快实现重要领域和关键环节改革新突破，以改革创新为动力推动体育科学发展。围绕转变体育发展方式，健全体育工作机构，加强队伍建设，鼓励广大体育工作者创造性开展工作。认真实施高层次人才引进和特聘计划、体育人才培训专项计划，健全培训和继续教育制度，完善体育人才成长激励政策，建设结构合理、素质优良的体育人才队伍，不断提升引领和支撑转变体育发展方式的综合能力。</w:t>
      </w:r>
    </w:p>
    <w:p w14:paraId="2551CBC0" w14:textId="77777777" w:rsidR="008A5C83" w:rsidRDefault="00A7141B">
      <w:pPr>
        <w:pStyle w:val="3"/>
        <w:numPr>
          <w:ilvl w:val="0"/>
          <w:numId w:val="0"/>
        </w:numPr>
        <w:spacing w:before="0" w:after="0" w:line="240" w:lineRule="auto"/>
        <w:ind w:left="567"/>
        <w:rPr>
          <w:rFonts w:ascii="仿宋_GB2312" w:eastAsia="仿宋_GB2312"/>
          <w:sz w:val="32"/>
        </w:rPr>
      </w:pPr>
      <w:bookmarkStart w:id="57" w:name="_Toc63007001"/>
      <w:bookmarkStart w:id="58" w:name="_Toc63006315"/>
      <w:r>
        <w:rPr>
          <w:rFonts w:ascii="仿宋_GB2312" w:eastAsia="仿宋_GB2312" w:hint="eastAsia"/>
          <w:sz w:val="32"/>
        </w:rPr>
        <w:t>2.</w:t>
      </w:r>
      <w:r>
        <w:rPr>
          <w:rFonts w:ascii="仿宋_GB2312" w:eastAsia="仿宋_GB2312" w:hint="eastAsia"/>
          <w:sz w:val="32"/>
        </w:rPr>
        <w:t>推进体育体制变革，创新体育社会组织管理体制</w:t>
      </w:r>
      <w:bookmarkEnd w:id="57"/>
      <w:bookmarkEnd w:id="58"/>
    </w:p>
    <w:p w14:paraId="4E023D8C"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认真贯彻落实《关于改革社会组织管理制度促进社会组织健康有序发展的意见》、《自治区党委办公厅</w:t>
      </w:r>
      <w:r>
        <w:rPr>
          <w:rFonts w:ascii="仿宋_GB2312" w:eastAsia="仿宋_GB2312" w:hint="eastAsia"/>
          <w:sz w:val="32"/>
          <w:szCs w:val="32"/>
        </w:rPr>
        <w:t xml:space="preserve"> </w:t>
      </w:r>
      <w:r>
        <w:rPr>
          <w:rFonts w:ascii="仿宋_GB2312" w:eastAsia="仿宋_GB2312" w:hint="eastAsia"/>
          <w:sz w:val="32"/>
          <w:szCs w:val="32"/>
        </w:rPr>
        <w:t>自治区人</w:t>
      </w:r>
      <w:r>
        <w:rPr>
          <w:rFonts w:ascii="仿宋_GB2312" w:eastAsia="仿宋_GB2312" w:hint="eastAsia"/>
          <w:sz w:val="32"/>
          <w:szCs w:val="32"/>
        </w:rPr>
        <w:lastRenderedPageBreak/>
        <w:t>民政府办公厅</w:t>
      </w:r>
      <w:r>
        <w:rPr>
          <w:rFonts w:ascii="仿宋_GB2312" w:eastAsia="仿宋_GB2312" w:hint="eastAsia"/>
          <w:sz w:val="32"/>
          <w:szCs w:val="32"/>
        </w:rPr>
        <w:t>&lt;</w:t>
      </w:r>
      <w:r>
        <w:rPr>
          <w:rFonts w:ascii="仿宋_GB2312" w:eastAsia="仿宋_GB2312" w:hint="eastAsia"/>
          <w:sz w:val="32"/>
          <w:szCs w:val="32"/>
        </w:rPr>
        <w:t>关于深化体育体制机制改革发展的若干意见</w:t>
      </w:r>
      <w:r>
        <w:rPr>
          <w:rFonts w:ascii="仿宋_GB2312" w:eastAsia="仿宋_GB2312" w:hint="eastAsia"/>
          <w:sz w:val="32"/>
          <w:szCs w:val="32"/>
        </w:rPr>
        <w:t>&gt;</w:t>
      </w:r>
      <w:r>
        <w:rPr>
          <w:rFonts w:ascii="仿宋_GB2312" w:eastAsia="仿宋_GB2312" w:hint="eastAsia"/>
          <w:sz w:val="32"/>
          <w:szCs w:val="32"/>
        </w:rPr>
        <w:t>的通知》的文件精神，科学界定政府与社会在体育管理领域的边界，推行体育社会组织“宽准入、严监管”，解决其数量少、不规范、作用不明显等问题，建立“行政机构</w:t>
      </w:r>
      <w:r>
        <w:rPr>
          <w:rFonts w:ascii="仿宋_GB2312" w:eastAsia="仿宋_GB2312"/>
          <w:sz w:val="32"/>
          <w:szCs w:val="32"/>
        </w:rPr>
        <w:t>—</w:t>
      </w:r>
      <w:r>
        <w:rPr>
          <w:rFonts w:ascii="仿宋_GB2312" w:eastAsia="仿宋_GB2312" w:hint="eastAsia"/>
          <w:sz w:val="32"/>
          <w:szCs w:val="32"/>
        </w:rPr>
        <w:t>社会组织</w:t>
      </w:r>
      <w:r>
        <w:rPr>
          <w:rFonts w:ascii="仿宋_GB2312" w:eastAsia="仿宋_GB2312"/>
          <w:sz w:val="32"/>
          <w:szCs w:val="32"/>
        </w:rPr>
        <w:t>—</w:t>
      </w:r>
      <w:r>
        <w:rPr>
          <w:rFonts w:ascii="仿宋_GB2312" w:eastAsia="仿宋_GB2312" w:hint="eastAsia"/>
          <w:sz w:val="32"/>
          <w:szCs w:val="32"/>
        </w:rPr>
        <w:t>草根组织”构成的横向到边、纵向到底的网络体系。理顺体育部门与社会团体的关系，完善体育社团管理体制，加快向体育社会组织转移体育服务和经办职能，扩大政府购买服务范围。充分发挥各级工会、共青团、妇联和社会各界、各行业办体育的积极性。</w:t>
      </w:r>
    </w:p>
    <w:p w14:paraId="46FFF18F" w14:textId="77777777" w:rsidR="008A5C83" w:rsidRDefault="00A7141B">
      <w:pPr>
        <w:pStyle w:val="3"/>
        <w:numPr>
          <w:ilvl w:val="0"/>
          <w:numId w:val="0"/>
        </w:numPr>
        <w:spacing w:before="0" w:after="0" w:line="240" w:lineRule="auto"/>
        <w:ind w:firstLineChars="196" w:firstLine="630"/>
        <w:rPr>
          <w:rFonts w:ascii="仿宋_GB2312" w:eastAsia="仿宋_GB2312"/>
          <w:sz w:val="32"/>
        </w:rPr>
      </w:pPr>
      <w:bookmarkStart w:id="59" w:name="_Toc63007002"/>
      <w:bookmarkStart w:id="60" w:name="_Toc63006316"/>
      <w:r>
        <w:rPr>
          <w:rFonts w:ascii="仿宋_GB2312" w:eastAsia="仿宋_GB2312" w:hint="eastAsia"/>
          <w:sz w:val="32"/>
        </w:rPr>
        <w:t>3.</w:t>
      </w:r>
      <w:r>
        <w:rPr>
          <w:rFonts w:ascii="仿宋_GB2312" w:eastAsia="仿宋_GB2312" w:hint="eastAsia"/>
          <w:sz w:val="32"/>
        </w:rPr>
        <w:t>鼓励社会力量参与体育，推动体育事业多维度发展</w:t>
      </w:r>
      <w:bookmarkEnd w:id="59"/>
      <w:bookmarkEnd w:id="60"/>
    </w:p>
    <w:p w14:paraId="63E2E2A6" w14:textId="0B2EBC56"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充分调动各类主体办体育的积极性，鼓励社会力量参与体育发展，推进体育事业建设运营的市场化、举办主体的多元化、投资渠道的多样化。引导社会力量参与举办全民健身活动，丰富和完善全民健身公共服务体系，构建全社会共同参与的“大群体”工作格局，在举办群众性体育赛事活动方面，着力推进体育“多元化”办赛改革，逐步采用社团、企业承办，政府补助的形式办赛，将适合市场</w:t>
      </w:r>
      <w:r>
        <w:rPr>
          <w:rFonts w:ascii="仿宋_GB2312" w:eastAsia="仿宋_GB2312" w:hint="eastAsia"/>
          <w:sz w:val="32"/>
          <w:szCs w:val="32"/>
        </w:rPr>
        <w:lastRenderedPageBreak/>
        <w:t>化运营的赛事运营权、招商权等核心资源，逐步交给市场与社会主体进行开发。同时紧紧围绕贯彻落实国务院及广西壮族</w:t>
      </w:r>
      <w:r>
        <w:rPr>
          <w:rFonts w:ascii="仿宋_GB2312" w:eastAsia="仿宋_GB2312" w:hint="eastAsia"/>
          <w:sz w:val="32"/>
          <w:szCs w:val="32"/>
        </w:rPr>
        <w:t>自治区政府关于“加快发展体育产业促进体育消费”的一系列决策部署，推动体育产业加速发展；鼓励支持社会力量进军体育产业，引导民间资本发展职业体育。继续积极探索“跳出体育办体育”的新思路，引导利用各方资源力量，努力推动柳州体育事业向更高、更广、更深的维度发展。</w:t>
      </w:r>
    </w:p>
    <w:p w14:paraId="121DE322" w14:textId="77777777" w:rsidR="008A5C83" w:rsidRDefault="00A7141B">
      <w:pPr>
        <w:pStyle w:val="3"/>
        <w:numPr>
          <w:ilvl w:val="0"/>
          <w:numId w:val="0"/>
        </w:numPr>
        <w:spacing w:before="0" w:after="0" w:line="240" w:lineRule="auto"/>
        <w:ind w:left="567"/>
        <w:rPr>
          <w:rFonts w:ascii="仿宋_GB2312" w:eastAsia="仿宋_GB2312"/>
          <w:sz w:val="32"/>
        </w:rPr>
      </w:pPr>
      <w:bookmarkStart w:id="61" w:name="_Toc63007003"/>
      <w:bookmarkStart w:id="62" w:name="_Toc63006317"/>
      <w:r>
        <w:rPr>
          <w:rFonts w:ascii="仿宋_GB2312" w:eastAsia="仿宋_GB2312" w:hint="eastAsia"/>
          <w:sz w:val="32"/>
        </w:rPr>
        <w:t xml:space="preserve"> 4.</w:t>
      </w:r>
      <w:r>
        <w:rPr>
          <w:rFonts w:ascii="仿宋_GB2312" w:eastAsia="仿宋_GB2312" w:hint="eastAsia"/>
          <w:sz w:val="32"/>
        </w:rPr>
        <w:t>创新发展运动积分制，激发群众参与体育热情</w:t>
      </w:r>
      <w:bookmarkEnd w:id="61"/>
      <w:bookmarkEnd w:id="62"/>
    </w:p>
    <w:p w14:paraId="1F9F4740"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从国际上一些体育项目的发展状况来看，竞技体育和群众体育融合是大趋势，这种融合带来很多正面的效应，对这两方面体育的发展都有良好的促进作用。为进一步加强我市体育事业的全面、协调、可持续发展</w:t>
      </w:r>
      <w:r>
        <w:rPr>
          <w:rFonts w:ascii="仿宋_GB2312" w:eastAsia="仿宋_GB2312" w:hint="eastAsia"/>
          <w:sz w:val="32"/>
          <w:szCs w:val="32"/>
        </w:rPr>
        <w:t>,</w:t>
      </w:r>
      <w:r>
        <w:rPr>
          <w:rFonts w:ascii="仿宋_GB2312" w:eastAsia="仿宋_GB2312" w:hint="eastAsia"/>
          <w:sz w:val="32"/>
          <w:szCs w:val="32"/>
        </w:rPr>
        <w:t>推动群众体育和竞技体育的深度融合，坚持开放办体育，以赛事激发柳州市民积极参与体育锻炼的热情。继续深化比赛积分制探索，吸引青少年通过参加各级各类体育赛事获得累计积分，以此作为发现、培养、选拔和储备优秀体育后备人才</w:t>
      </w:r>
      <w:r>
        <w:rPr>
          <w:rFonts w:ascii="仿宋_GB2312" w:eastAsia="仿宋_GB2312" w:hint="eastAsia"/>
          <w:sz w:val="32"/>
          <w:szCs w:val="32"/>
        </w:rPr>
        <w:lastRenderedPageBreak/>
        <w:t>的依据，选拔优秀选手代表柳州参加各类比赛。提高体育事业的群众基础，激励更多的人参与进来，同时破除以往人才选拔机制的旧思想、旧行规，坚决杜绝腐败现象发生。</w:t>
      </w:r>
    </w:p>
    <w:p w14:paraId="3C7D290F" w14:textId="77777777" w:rsidR="008A5C83" w:rsidRDefault="00A7141B">
      <w:pPr>
        <w:pStyle w:val="3"/>
        <w:numPr>
          <w:ilvl w:val="0"/>
          <w:numId w:val="0"/>
        </w:numPr>
        <w:spacing w:before="0" w:after="0" w:line="240" w:lineRule="auto"/>
        <w:ind w:left="567"/>
        <w:rPr>
          <w:rFonts w:ascii="仿宋_GB2312" w:eastAsia="仿宋_GB2312"/>
          <w:sz w:val="32"/>
        </w:rPr>
      </w:pPr>
      <w:bookmarkStart w:id="63" w:name="_Toc63006318"/>
      <w:bookmarkStart w:id="64" w:name="_Toc63007004"/>
      <w:r>
        <w:rPr>
          <w:rFonts w:ascii="仿宋_GB2312" w:eastAsia="仿宋_GB2312" w:hint="eastAsia"/>
          <w:sz w:val="32"/>
        </w:rPr>
        <w:t>5.</w:t>
      </w:r>
      <w:r>
        <w:rPr>
          <w:rFonts w:ascii="仿宋_GB2312" w:eastAsia="仿宋_GB2312" w:hint="eastAsia"/>
          <w:sz w:val="32"/>
        </w:rPr>
        <w:t>搭建智慧体育平台，深度整合体育事业资源</w:t>
      </w:r>
      <w:bookmarkEnd w:id="63"/>
      <w:bookmarkEnd w:id="64"/>
    </w:p>
    <w:p w14:paraId="289CF0E1"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智慧体育是体育信息化的高级形态，是对传统数字体育的进一步扩展与提升，是整合共享竞技体育、群众体育、体育产业、体育文化等信息化的大数据平台；要求切实做好体育场馆的预定和结算功能、竞技体育、群众赛事的管理和服务功能上线“龙城市民云”，具体包括十五分钟健身圈信息查询、体育场馆预订、场馆运营智能化管理、精品培训、赛事活动、协会组织、体育直播、国民体质监测与运动处方等多个功能模块，以便更好地服务柳州市民。通过构建智慧体育平台</w:t>
      </w:r>
      <w:r>
        <w:rPr>
          <w:rFonts w:ascii="仿宋_GB2312" w:eastAsia="仿宋_GB2312" w:hint="eastAsia"/>
          <w:sz w:val="32"/>
          <w:szCs w:val="32"/>
        </w:rPr>
        <w:t>,</w:t>
      </w:r>
      <w:r>
        <w:rPr>
          <w:rFonts w:ascii="仿宋_GB2312" w:eastAsia="仿宋_GB2312" w:hint="eastAsia"/>
          <w:sz w:val="32"/>
          <w:szCs w:val="32"/>
        </w:rPr>
        <w:t>可以有效的对体育资源进行优化整合，实现体育资源的共享</w:t>
      </w:r>
      <w:r>
        <w:rPr>
          <w:rFonts w:ascii="仿宋_GB2312" w:eastAsia="仿宋_GB2312" w:hint="eastAsia"/>
          <w:sz w:val="32"/>
          <w:szCs w:val="32"/>
        </w:rPr>
        <w:t>,</w:t>
      </w:r>
      <w:r>
        <w:rPr>
          <w:rFonts w:ascii="仿宋_GB2312" w:eastAsia="仿宋_GB2312" w:hint="eastAsia"/>
          <w:sz w:val="32"/>
          <w:szCs w:val="32"/>
        </w:rPr>
        <w:t>进而促进柳州市体育事业的健康发展。</w:t>
      </w:r>
    </w:p>
    <w:p w14:paraId="27D1A5B5" w14:textId="77777777" w:rsidR="008A5C83" w:rsidRDefault="00A7141B">
      <w:pPr>
        <w:pStyle w:val="2"/>
        <w:spacing w:before="0" w:after="0"/>
        <w:rPr>
          <w:color w:val="auto"/>
          <w:sz w:val="32"/>
        </w:rPr>
      </w:pPr>
      <w:bookmarkStart w:id="65" w:name="_Toc63007005"/>
      <w:bookmarkStart w:id="66" w:name="_Toc55920314"/>
      <w:r>
        <w:rPr>
          <w:rFonts w:hint="eastAsia"/>
          <w:color w:val="auto"/>
          <w:sz w:val="32"/>
        </w:rPr>
        <w:t xml:space="preserve">   </w:t>
      </w:r>
      <w:r>
        <w:rPr>
          <w:rFonts w:hint="eastAsia"/>
          <w:color w:val="auto"/>
          <w:sz w:val="32"/>
        </w:rPr>
        <w:t>（二）实施全民健身行动，助力健康柳州建设</w:t>
      </w:r>
      <w:bookmarkEnd w:id="65"/>
      <w:bookmarkEnd w:id="66"/>
    </w:p>
    <w:p w14:paraId="30CECC8C" w14:textId="77777777" w:rsidR="008A5C83" w:rsidRDefault="00A7141B">
      <w:pPr>
        <w:pStyle w:val="3"/>
        <w:numPr>
          <w:ilvl w:val="0"/>
          <w:numId w:val="0"/>
        </w:numPr>
        <w:spacing w:before="0" w:after="0" w:line="240" w:lineRule="auto"/>
        <w:ind w:firstLineChars="196" w:firstLine="630"/>
        <w:rPr>
          <w:rFonts w:ascii="仿宋_GB2312" w:eastAsia="仿宋_GB2312"/>
          <w:sz w:val="32"/>
        </w:rPr>
      </w:pPr>
      <w:bookmarkStart w:id="67" w:name="_Toc63007006"/>
      <w:bookmarkStart w:id="68" w:name="_Toc63006320"/>
      <w:r>
        <w:rPr>
          <w:rFonts w:ascii="仿宋_GB2312" w:eastAsia="仿宋_GB2312" w:hint="eastAsia"/>
          <w:sz w:val="32"/>
        </w:rPr>
        <w:lastRenderedPageBreak/>
        <w:t>1.</w:t>
      </w:r>
      <w:r>
        <w:rPr>
          <w:rFonts w:ascii="仿宋_GB2312" w:eastAsia="仿宋_GB2312" w:hint="eastAsia"/>
          <w:sz w:val="32"/>
        </w:rPr>
        <w:t>强化支撑，完善制度建设，加强对全民健身指导</w:t>
      </w:r>
    </w:p>
    <w:p w14:paraId="0889EEC1"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以提升柳州市全民健身活动的服务能力为落脚点，建立服务规范、运行高效的全民健身服务体系。充分大会市、县区的两级全民健身工作联席会议作用，每年至少召开一次联席会，及时协调解决全民健身工作重点难点问题；进一步建立完善体育社会组织和社会体育指导员管理，体育场地管理等制度机制。提升群众体育治理能力，推动全民健身高质量发展。</w:t>
      </w:r>
    </w:p>
    <w:p w14:paraId="2E991810" w14:textId="77777777" w:rsidR="008A5C83" w:rsidRDefault="00A7141B">
      <w:pPr>
        <w:pStyle w:val="3"/>
        <w:numPr>
          <w:ilvl w:val="0"/>
          <w:numId w:val="0"/>
        </w:numPr>
        <w:spacing w:before="0" w:after="0" w:line="240" w:lineRule="auto"/>
        <w:ind w:firstLineChars="196" w:firstLine="630"/>
        <w:rPr>
          <w:rFonts w:ascii="仿宋_GB2312" w:eastAsia="仿宋_GB2312"/>
          <w:sz w:val="32"/>
        </w:rPr>
      </w:pPr>
      <w:r>
        <w:rPr>
          <w:rFonts w:ascii="仿宋_GB2312" w:eastAsia="仿宋_GB2312" w:hint="eastAsia"/>
          <w:sz w:val="32"/>
        </w:rPr>
        <w:t>2</w:t>
      </w:r>
      <w:r>
        <w:rPr>
          <w:rFonts w:ascii="仿宋_GB2312" w:eastAsia="仿宋_GB2312" w:hint="eastAsia"/>
          <w:sz w:val="32"/>
        </w:rPr>
        <w:t>.</w:t>
      </w:r>
      <w:r>
        <w:rPr>
          <w:rFonts w:ascii="仿宋_GB2312" w:eastAsia="仿宋_GB2312" w:hint="eastAsia"/>
          <w:sz w:val="32"/>
        </w:rPr>
        <w:t>整合资源，培育体育社会组织，推动体育社会组织规范化</w:t>
      </w:r>
      <w:bookmarkEnd w:id="67"/>
      <w:bookmarkEnd w:id="68"/>
    </w:p>
    <w:p w14:paraId="423CEF42"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采取民政部门登记和体育部门备案等方式，扩充体育组织数量，将体育组织的形式纵向延展至社区和行政村，推进基层体育组织振兴，实现各个行政层级的全覆盖；加强健身与健康组织融合，探索建立“大体育”“大健康”的组织协作机制；培育一批健身健康公益组织，落实社会体育组织“五有”和社会体育指导员双向登记等要求，推广应用柳州市社会体育指导员服务管理互联网平台，强化社</w:t>
      </w:r>
      <w:r>
        <w:rPr>
          <w:rFonts w:ascii="仿宋_GB2312" w:eastAsia="仿宋_GB2312" w:hint="eastAsia"/>
          <w:sz w:val="32"/>
          <w:szCs w:val="32"/>
        </w:rPr>
        <w:lastRenderedPageBreak/>
        <w:t>会体育组织和人员的管理服务，引导支持健身站点建设，充分发挥社会组织在承接政府相关职能和工作事项中的作用，实现政府相关职能和工作事项规范有序地转移、委托以及承接。通过积极推动政府购买公共体育服务等措施，创新体育社会组织培育发展新路径</w:t>
      </w:r>
      <w:r>
        <w:rPr>
          <w:rFonts w:ascii="仿宋_GB2312" w:eastAsia="仿宋_GB2312" w:hint="eastAsia"/>
          <w:sz w:val="32"/>
          <w:szCs w:val="32"/>
        </w:rPr>
        <w:t>,</w:t>
      </w:r>
      <w:r>
        <w:rPr>
          <w:rFonts w:ascii="仿宋_GB2312" w:eastAsia="仿宋_GB2312" w:hint="eastAsia"/>
          <w:sz w:val="32"/>
          <w:szCs w:val="32"/>
        </w:rPr>
        <w:t>全面提升体育社会组织服务能力；通过专项资金补贴和政策引导，鼓励有能力的社会组织承办体育赛事活动。</w:t>
      </w:r>
    </w:p>
    <w:p w14:paraId="36B3A1D3" w14:textId="77777777" w:rsidR="008A5C83" w:rsidRDefault="00A7141B">
      <w:pPr>
        <w:pStyle w:val="3"/>
        <w:numPr>
          <w:ilvl w:val="0"/>
          <w:numId w:val="0"/>
        </w:numPr>
        <w:spacing w:before="0" w:after="0" w:line="240" w:lineRule="auto"/>
        <w:ind w:firstLineChars="196" w:firstLine="630"/>
        <w:rPr>
          <w:rFonts w:ascii="仿宋_GB2312" w:eastAsia="仿宋_GB2312"/>
          <w:sz w:val="32"/>
        </w:rPr>
      </w:pPr>
      <w:bookmarkStart w:id="69" w:name="_Toc63007007"/>
      <w:bookmarkStart w:id="70" w:name="_Toc63006321"/>
      <w:r>
        <w:rPr>
          <w:rFonts w:ascii="仿宋_GB2312" w:eastAsia="仿宋_GB2312" w:hint="eastAsia"/>
          <w:sz w:val="32"/>
        </w:rPr>
        <w:t>3</w:t>
      </w:r>
      <w:r>
        <w:rPr>
          <w:rFonts w:ascii="仿宋_GB2312" w:eastAsia="仿宋_GB2312" w:hint="eastAsia"/>
          <w:sz w:val="32"/>
        </w:rPr>
        <w:t>.</w:t>
      </w:r>
      <w:proofErr w:type="gramStart"/>
      <w:r>
        <w:rPr>
          <w:rFonts w:ascii="仿宋_GB2312" w:eastAsia="仿宋_GB2312" w:hint="eastAsia"/>
          <w:sz w:val="32"/>
        </w:rPr>
        <w:t>扩量提</w:t>
      </w:r>
      <w:proofErr w:type="gramEnd"/>
      <w:r>
        <w:rPr>
          <w:rFonts w:ascii="仿宋_GB2312" w:eastAsia="仿宋_GB2312" w:hint="eastAsia"/>
          <w:sz w:val="32"/>
        </w:rPr>
        <w:t>质，完善全民健身公共服务体系，构建城乡一体化的设施网络</w:t>
      </w:r>
      <w:bookmarkEnd w:id="69"/>
      <w:bookmarkEnd w:id="70"/>
    </w:p>
    <w:p w14:paraId="2453F63E"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推动市、县（区）、乡镇（街道）、行政村（社区）四级全民健身公共体育设施建设，新建社区、乡镇、行政村体育设施要</w:t>
      </w:r>
      <w:r>
        <w:rPr>
          <w:rFonts w:ascii="仿宋_GB2312" w:eastAsia="仿宋_GB2312" w:hint="eastAsia"/>
          <w:sz w:val="32"/>
          <w:szCs w:val="32"/>
        </w:rPr>
        <w:t>100%</w:t>
      </w:r>
      <w:r>
        <w:rPr>
          <w:rFonts w:ascii="仿宋_GB2312" w:eastAsia="仿宋_GB2312" w:hint="eastAsia"/>
          <w:sz w:val="32"/>
          <w:szCs w:val="32"/>
        </w:rPr>
        <w:t>全覆盖，形成城市社区“</w:t>
      </w:r>
      <w:r>
        <w:rPr>
          <w:rFonts w:ascii="仿宋_GB2312" w:eastAsia="仿宋_GB2312" w:hint="eastAsia"/>
          <w:sz w:val="32"/>
          <w:szCs w:val="32"/>
        </w:rPr>
        <w:t>15</w:t>
      </w:r>
      <w:r>
        <w:rPr>
          <w:rFonts w:ascii="仿宋_GB2312" w:eastAsia="仿宋_GB2312" w:hint="eastAsia"/>
          <w:sz w:val="32"/>
          <w:szCs w:val="32"/>
        </w:rPr>
        <w:t>分钟体育健身圈”。重点建设一批便民利民的中小型体育场馆、公众健身活动中心、社区健身中心、户外多功能球场、健身路径等场地设施。充分利用城市公共空间和公园，建设休闲绿道、拆装式游泳池、笼式多功能运动场等场地设施。结合百里柳江旅游景区的规划与建设，依山沿岸建设自行车步</w:t>
      </w:r>
      <w:r>
        <w:rPr>
          <w:rFonts w:ascii="仿宋_GB2312" w:eastAsia="仿宋_GB2312" w:hint="eastAsia"/>
          <w:sz w:val="32"/>
          <w:szCs w:val="32"/>
        </w:rPr>
        <w:lastRenderedPageBreak/>
        <w:t>道及露营地集群，具备条件的江河沿岸建设船艇码头和水上运动基地，加快建设一批时尚健身设施，构建环柳江文化带户外体育休闲圈。落实教育部、体育总局发布的《关于推进学校体育场馆向社会开放的实施意见》，积极推进学校体育场馆向学生和社会开放，有效缓解广大青少年和人民群众日益增长的体育健身需求与体育场馆资源供给不足之间的矛盾。</w:t>
      </w:r>
    </w:p>
    <w:p w14:paraId="441A7327" w14:textId="77777777" w:rsidR="008A5C83" w:rsidRDefault="00A7141B">
      <w:pPr>
        <w:pStyle w:val="3"/>
        <w:numPr>
          <w:ilvl w:val="0"/>
          <w:numId w:val="0"/>
        </w:numPr>
        <w:spacing w:before="0" w:after="0" w:line="240" w:lineRule="auto"/>
        <w:ind w:firstLineChars="196" w:firstLine="630"/>
        <w:rPr>
          <w:rFonts w:ascii="仿宋_GB2312" w:eastAsia="仿宋_GB2312"/>
          <w:sz w:val="32"/>
        </w:rPr>
      </w:pPr>
      <w:bookmarkStart w:id="71" w:name="_Toc63007008"/>
      <w:bookmarkStart w:id="72" w:name="_Toc63006322"/>
      <w:r>
        <w:rPr>
          <w:rFonts w:ascii="仿宋_GB2312" w:eastAsia="仿宋_GB2312" w:hint="eastAsia"/>
          <w:sz w:val="32"/>
        </w:rPr>
        <w:t>4</w:t>
      </w:r>
      <w:r>
        <w:rPr>
          <w:rFonts w:ascii="仿宋_GB2312" w:eastAsia="仿宋_GB2312" w:hint="eastAsia"/>
          <w:sz w:val="32"/>
        </w:rPr>
        <w:t>.</w:t>
      </w:r>
      <w:r>
        <w:rPr>
          <w:rFonts w:ascii="仿宋_GB2312" w:eastAsia="仿宋_GB2312" w:hint="eastAsia"/>
          <w:sz w:val="32"/>
        </w:rPr>
        <w:t>厚植优势，广泛开展全民健身活动，加强人性化、特色化建设</w:t>
      </w:r>
      <w:bookmarkEnd w:id="71"/>
      <w:bookmarkEnd w:id="72"/>
    </w:p>
    <w:p w14:paraId="45C075B6"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在做好元旦长跑、绿色骑行、千人徒步，壮族三月三和全民健身</w:t>
      </w:r>
      <w:proofErr w:type="gramStart"/>
      <w:r>
        <w:rPr>
          <w:rFonts w:ascii="仿宋_GB2312" w:eastAsia="仿宋_GB2312" w:hint="eastAsia"/>
          <w:sz w:val="32"/>
          <w:szCs w:val="32"/>
        </w:rPr>
        <w:t>节体育</w:t>
      </w:r>
      <w:proofErr w:type="gramEnd"/>
      <w:r>
        <w:rPr>
          <w:rFonts w:ascii="仿宋_GB2312" w:eastAsia="仿宋_GB2312" w:hint="eastAsia"/>
          <w:sz w:val="32"/>
          <w:szCs w:val="32"/>
        </w:rPr>
        <w:t>系列活动，羽毛球、气排球、足球超级联赛等群众性赛事和活动的同时；应以人为本，关注重点人群和特殊人群体育活动，重视青少年体育活动定期举办相关赛事或运动会；坚持走特色化发展路线，鼓励举办以特色民族传统运动为主题的群众性活动，扶持赛龙舟、舞龙狮、抢花炮、芦笙、斗马为代表的民族传统体育项目，积极建设少数民族传统体育项目基地，保护和传承少数民</w:t>
      </w:r>
      <w:r>
        <w:rPr>
          <w:rFonts w:ascii="仿宋_GB2312" w:eastAsia="仿宋_GB2312" w:hint="eastAsia"/>
          <w:sz w:val="32"/>
          <w:szCs w:val="32"/>
        </w:rPr>
        <w:lastRenderedPageBreak/>
        <w:t>族传统体育文化。</w:t>
      </w:r>
    </w:p>
    <w:p w14:paraId="03709918" w14:textId="77777777" w:rsidR="008A5C83" w:rsidRDefault="00A7141B">
      <w:pPr>
        <w:pStyle w:val="3"/>
        <w:numPr>
          <w:ilvl w:val="0"/>
          <w:numId w:val="0"/>
        </w:numPr>
        <w:spacing w:before="0" w:after="0" w:line="240" w:lineRule="auto"/>
        <w:ind w:firstLineChars="196" w:firstLine="630"/>
        <w:rPr>
          <w:rFonts w:ascii="仿宋_GB2312" w:eastAsia="仿宋_GB2312"/>
          <w:sz w:val="32"/>
        </w:rPr>
      </w:pPr>
      <w:bookmarkStart w:id="73" w:name="_Toc63006323"/>
      <w:bookmarkStart w:id="74" w:name="_Toc63007009"/>
      <w:r>
        <w:rPr>
          <w:rFonts w:ascii="仿宋_GB2312" w:eastAsia="仿宋_GB2312" w:hint="eastAsia"/>
          <w:sz w:val="32"/>
        </w:rPr>
        <w:t>5</w:t>
      </w:r>
      <w:r>
        <w:rPr>
          <w:rFonts w:ascii="仿宋_GB2312" w:eastAsia="仿宋_GB2312" w:hint="eastAsia"/>
          <w:sz w:val="32"/>
        </w:rPr>
        <w:t>.</w:t>
      </w:r>
      <w:r>
        <w:rPr>
          <w:rFonts w:ascii="仿宋_GB2312" w:eastAsia="仿宋_GB2312" w:hint="eastAsia"/>
          <w:sz w:val="32"/>
        </w:rPr>
        <w:t>创新发展，推动全民健身与全民健康深度融合的理念宣传</w:t>
      </w:r>
      <w:bookmarkEnd w:id="73"/>
      <w:bookmarkEnd w:id="74"/>
    </w:p>
    <w:p w14:paraId="11ADD642"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积极建设全民健身多维宣传平台，普及科学健身知识和技能，宣传运动促进健康的良好成效；将健身健康文化与地域文化、城市文化、民俗文化等有机结合，加强健康主题文化宣传和推广，提升城乡居民的健身素养和意识；壮大体</w:t>
      </w:r>
      <w:proofErr w:type="gramStart"/>
      <w:r>
        <w:rPr>
          <w:rFonts w:ascii="仿宋_GB2312" w:eastAsia="仿宋_GB2312" w:hint="eastAsia"/>
          <w:sz w:val="32"/>
          <w:szCs w:val="32"/>
        </w:rPr>
        <w:t>医</w:t>
      </w:r>
      <w:proofErr w:type="gramEnd"/>
      <w:r>
        <w:rPr>
          <w:rFonts w:ascii="仿宋_GB2312" w:eastAsia="仿宋_GB2312" w:hint="eastAsia"/>
          <w:sz w:val="32"/>
          <w:szCs w:val="32"/>
        </w:rPr>
        <w:t>融合人才队伍，每年培训社会体育指导员不少于</w:t>
      </w:r>
      <w:r>
        <w:rPr>
          <w:rFonts w:ascii="仿宋_GB2312" w:eastAsia="仿宋_GB2312" w:hint="eastAsia"/>
          <w:sz w:val="32"/>
          <w:szCs w:val="32"/>
        </w:rPr>
        <w:t>800</w:t>
      </w:r>
      <w:r>
        <w:rPr>
          <w:rFonts w:ascii="仿宋_GB2312" w:eastAsia="仿宋_GB2312" w:hint="eastAsia"/>
          <w:sz w:val="32"/>
          <w:szCs w:val="32"/>
        </w:rPr>
        <w:t>人，注重充实乡村和偏远地区的健身指导力量；加强医务人员运动处方和非医疗健康干预专业培训，全方位的推动全民健身与全民健康的融合。</w:t>
      </w:r>
      <w:bookmarkStart w:id="75" w:name="_Toc55920315"/>
      <w:r>
        <w:rPr>
          <w:rFonts w:ascii="仿宋_GB2312" w:eastAsia="仿宋_GB2312" w:hint="eastAsia"/>
          <w:sz w:val="32"/>
          <w:szCs w:val="32"/>
        </w:rPr>
        <w:t>加强国民体质监测站点建设，实现县区全覆盖，</w:t>
      </w:r>
      <w:r>
        <w:rPr>
          <w:rFonts w:ascii="仿宋_GB2312" w:eastAsia="仿宋_GB2312" w:hint="eastAsia"/>
          <w:sz w:val="32"/>
          <w:szCs w:val="32"/>
        </w:rPr>
        <w:t>2025</w:t>
      </w:r>
      <w:r>
        <w:rPr>
          <w:rFonts w:ascii="仿宋_GB2312" w:eastAsia="仿宋_GB2312" w:hint="eastAsia"/>
          <w:sz w:val="32"/>
          <w:szCs w:val="32"/>
        </w:rPr>
        <w:t>年国民体质合格率达到</w:t>
      </w:r>
      <w:r>
        <w:rPr>
          <w:rFonts w:ascii="仿宋_GB2312" w:eastAsia="仿宋_GB2312" w:hint="eastAsia"/>
          <w:sz w:val="32"/>
          <w:szCs w:val="32"/>
        </w:rPr>
        <w:t>91%</w:t>
      </w:r>
      <w:r>
        <w:rPr>
          <w:rFonts w:ascii="仿宋_GB2312" w:eastAsia="仿宋_GB2312" w:hint="eastAsia"/>
          <w:sz w:val="32"/>
          <w:szCs w:val="32"/>
        </w:rPr>
        <w:t>以上。</w:t>
      </w:r>
    </w:p>
    <w:p w14:paraId="55015FB7" w14:textId="77777777" w:rsidR="008A5C83" w:rsidRDefault="00A7141B">
      <w:pPr>
        <w:pStyle w:val="2"/>
        <w:spacing w:before="0" w:after="0"/>
        <w:rPr>
          <w:color w:val="auto"/>
          <w:sz w:val="32"/>
        </w:rPr>
      </w:pPr>
      <w:bookmarkStart w:id="76" w:name="_Toc63007010"/>
      <w:r>
        <w:rPr>
          <w:rFonts w:hint="eastAsia"/>
          <w:color w:val="auto"/>
        </w:rPr>
        <w:t xml:space="preserve">    </w:t>
      </w:r>
      <w:r>
        <w:rPr>
          <w:rFonts w:hint="eastAsia"/>
          <w:color w:val="auto"/>
          <w:sz w:val="32"/>
        </w:rPr>
        <w:t>（三）竞技体育综合实力更加突出，打造体育强市</w:t>
      </w:r>
      <w:bookmarkEnd w:id="75"/>
      <w:bookmarkEnd w:id="76"/>
    </w:p>
    <w:p w14:paraId="30C1E319" w14:textId="77777777" w:rsidR="008A5C83" w:rsidRDefault="00A7141B">
      <w:pPr>
        <w:pStyle w:val="3"/>
        <w:numPr>
          <w:ilvl w:val="0"/>
          <w:numId w:val="0"/>
        </w:numPr>
        <w:spacing w:before="0" w:after="0" w:line="240" w:lineRule="auto"/>
        <w:ind w:firstLineChars="196" w:firstLine="630"/>
        <w:rPr>
          <w:rFonts w:ascii="仿宋_GB2312" w:eastAsia="仿宋_GB2312"/>
          <w:sz w:val="32"/>
        </w:rPr>
      </w:pPr>
      <w:bookmarkStart w:id="77" w:name="_Toc63007011"/>
      <w:bookmarkStart w:id="78" w:name="_Toc63006325"/>
      <w:r>
        <w:rPr>
          <w:rFonts w:ascii="仿宋_GB2312" w:eastAsia="仿宋_GB2312" w:hint="eastAsia"/>
          <w:sz w:val="32"/>
        </w:rPr>
        <w:t>1.</w:t>
      </w:r>
      <w:r>
        <w:rPr>
          <w:rFonts w:ascii="仿宋_GB2312" w:eastAsia="仿宋_GB2312" w:hint="eastAsia"/>
          <w:sz w:val="32"/>
        </w:rPr>
        <w:t>改革竞技体育机制，全力备战</w:t>
      </w:r>
      <w:r>
        <w:rPr>
          <w:rFonts w:ascii="仿宋_GB2312" w:eastAsia="仿宋_GB2312" w:hint="eastAsia"/>
          <w:sz w:val="32"/>
        </w:rPr>
        <w:t>区级</w:t>
      </w:r>
      <w:r>
        <w:rPr>
          <w:rFonts w:ascii="仿宋_GB2312" w:eastAsia="仿宋_GB2312" w:hint="eastAsia"/>
          <w:sz w:val="32"/>
        </w:rPr>
        <w:t>重大体育赛事</w:t>
      </w:r>
      <w:bookmarkEnd w:id="77"/>
      <w:bookmarkEnd w:id="78"/>
    </w:p>
    <w:p w14:paraId="1931F3FA"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进一步转变职能，加快管办分离步伐，加大向社会组织和企业释放赛事资源工作力度，把工作重心真正转移到</w:t>
      </w:r>
      <w:r>
        <w:rPr>
          <w:rFonts w:ascii="仿宋_GB2312" w:eastAsia="仿宋_GB2312" w:hint="eastAsia"/>
          <w:sz w:val="32"/>
          <w:szCs w:val="32"/>
        </w:rPr>
        <w:lastRenderedPageBreak/>
        <w:t>竞技体育赛事的发展规划、宏观调控、行业监管、功能拓展等方面。进一步完善竞技体育的政策机制体系、制度规范体系、组织指导体系、设施保障体系、赛事活动体系等。坚持以</w:t>
      </w:r>
      <w:r>
        <w:rPr>
          <w:rFonts w:ascii="仿宋_GB2312" w:eastAsia="仿宋_GB2312" w:hint="eastAsia"/>
          <w:sz w:val="32"/>
          <w:szCs w:val="32"/>
        </w:rPr>
        <w:t>区运会、区年度锦标赛</w:t>
      </w:r>
      <w:r>
        <w:rPr>
          <w:rFonts w:ascii="仿宋_GB2312" w:eastAsia="仿宋_GB2312" w:hint="eastAsia"/>
          <w:sz w:val="32"/>
          <w:szCs w:val="32"/>
        </w:rPr>
        <w:t>为最高层次的竞技体育发展战略，全面贯彻</w:t>
      </w:r>
      <w:r>
        <w:rPr>
          <w:rFonts w:ascii="仿宋_GB2312" w:eastAsia="仿宋_GB2312" w:hint="eastAsia"/>
          <w:sz w:val="32"/>
          <w:szCs w:val="32"/>
        </w:rPr>
        <w:t xml:space="preserve">                                                                                                                                                                                                                                                                                                                                                                                                                    </w:t>
      </w:r>
      <w:r>
        <w:rPr>
          <w:rFonts w:ascii="仿宋_GB2312" w:eastAsia="仿宋_GB2312" w:hint="eastAsia"/>
          <w:sz w:val="32"/>
          <w:szCs w:val="32"/>
        </w:rPr>
        <w:t xml:space="preserve">                                                              </w:t>
      </w:r>
    </w:p>
    <w:p w14:paraId="2C6972A5" w14:textId="77777777" w:rsidR="008A5C83" w:rsidRDefault="00A7141B">
      <w:pPr>
        <w:pStyle w:val="3"/>
        <w:numPr>
          <w:ilvl w:val="0"/>
          <w:numId w:val="0"/>
        </w:numPr>
        <w:spacing w:before="0" w:after="0" w:line="240" w:lineRule="auto"/>
        <w:ind w:firstLineChars="196" w:firstLine="630"/>
        <w:rPr>
          <w:rFonts w:ascii="仿宋_GB2312" w:eastAsia="仿宋_GB2312"/>
          <w:sz w:val="32"/>
        </w:rPr>
      </w:pPr>
      <w:bookmarkStart w:id="79" w:name="_Toc63006326"/>
      <w:bookmarkStart w:id="80" w:name="_Toc63007012"/>
      <w:r>
        <w:rPr>
          <w:rFonts w:ascii="仿宋_GB2312" w:eastAsia="仿宋_GB2312" w:hint="eastAsia"/>
          <w:sz w:val="32"/>
        </w:rPr>
        <w:t>2.</w:t>
      </w:r>
      <w:bookmarkEnd w:id="79"/>
      <w:bookmarkEnd w:id="80"/>
      <w:r>
        <w:rPr>
          <w:rFonts w:ascii="仿宋_GB2312" w:eastAsia="仿宋_GB2312" w:hint="eastAsia"/>
          <w:sz w:val="32"/>
        </w:rPr>
        <w:t>深化体校改革，创建社会“合作共建”培训基地建设</w:t>
      </w:r>
    </w:p>
    <w:p w14:paraId="645FFFF4" w14:textId="77777777" w:rsidR="008A5C83" w:rsidRDefault="00A7141B">
      <w:pPr>
        <w:spacing w:line="240" w:lineRule="auto"/>
        <w:ind w:firstLine="640"/>
        <w:rPr>
          <w:rFonts w:ascii="仿宋_GB2312" w:eastAsia="仿宋_GB2312"/>
          <w:sz w:val="32"/>
          <w:szCs w:val="32"/>
        </w:rPr>
      </w:pPr>
      <w:r>
        <w:rPr>
          <w:rFonts w:ascii="仿宋_GB2312" w:eastAsia="仿宋_GB2312"/>
          <w:sz w:val="32"/>
          <w:szCs w:val="32"/>
        </w:rPr>
        <w:t>推进各级各类体校改革，大力推动青少年体有后备人才基层体校培养体系和社会合作共建训练基地建设，抓好市级示范性体校、县级标准体校的创建工作，建成</w:t>
      </w:r>
      <w:r>
        <w:rPr>
          <w:rFonts w:ascii="仿宋_GB2312" w:eastAsia="仿宋_GB2312"/>
          <w:sz w:val="32"/>
          <w:szCs w:val="32"/>
        </w:rPr>
        <w:t>1</w:t>
      </w:r>
      <w:r>
        <w:rPr>
          <w:rFonts w:ascii="仿宋_GB2312" w:eastAsia="仿宋_GB2312"/>
          <w:sz w:val="32"/>
          <w:szCs w:val="32"/>
        </w:rPr>
        <w:t>所市级示范性体校、柳城县、鹿寨县、三江县、融水县、融安县、柳江区等</w:t>
      </w:r>
      <w:r>
        <w:rPr>
          <w:rFonts w:ascii="仿宋_GB2312" w:eastAsia="仿宋_GB2312"/>
          <w:sz w:val="32"/>
          <w:szCs w:val="32"/>
        </w:rPr>
        <w:t>6</w:t>
      </w:r>
      <w:r>
        <w:rPr>
          <w:rFonts w:ascii="仿宋_GB2312" w:eastAsia="仿宋_GB2312"/>
          <w:sz w:val="32"/>
          <w:szCs w:val="32"/>
        </w:rPr>
        <w:t>所县级标准体校</w:t>
      </w:r>
      <w:r>
        <w:rPr>
          <w:rFonts w:ascii="仿宋_GB2312" w:eastAsia="仿宋_GB2312"/>
          <w:sz w:val="32"/>
          <w:szCs w:val="32"/>
        </w:rPr>
        <w:t>(</w:t>
      </w:r>
      <w:r>
        <w:rPr>
          <w:rFonts w:ascii="仿宋_GB2312" w:eastAsia="仿宋_GB2312"/>
          <w:sz w:val="32"/>
          <w:szCs w:val="32"/>
        </w:rPr>
        <w:t>含业余体校</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4</w:t>
      </w:r>
      <w:r>
        <w:rPr>
          <w:rFonts w:ascii="仿宋_GB2312" w:eastAsia="仿宋_GB2312"/>
          <w:sz w:val="32"/>
          <w:szCs w:val="32"/>
        </w:rPr>
        <w:t>所</w:t>
      </w:r>
      <w:r>
        <w:rPr>
          <w:rFonts w:ascii="仿宋_GB2312" w:eastAsia="仿宋_GB2312" w:hint="eastAsia"/>
          <w:sz w:val="32"/>
          <w:szCs w:val="32"/>
        </w:rPr>
        <w:t>“双名”</w:t>
      </w:r>
      <w:r>
        <w:rPr>
          <w:rFonts w:ascii="仿宋_GB2312" w:eastAsia="仿宋_GB2312"/>
          <w:sz w:val="32"/>
          <w:szCs w:val="32"/>
        </w:rPr>
        <w:t>体校</w:t>
      </w:r>
      <w:r>
        <w:rPr>
          <w:rFonts w:ascii="仿宋_GB2312" w:eastAsia="仿宋_GB2312"/>
          <w:sz w:val="32"/>
          <w:szCs w:val="32"/>
        </w:rPr>
        <w:t>(</w:t>
      </w:r>
      <w:r>
        <w:rPr>
          <w:rFonts w:ascii="仿宋_GB2312" w:eastAsia="仿宋_GB2312"/>
          <w:sz w:val="32"/>
          <w:szCs w:val="32"/>
        </w:rPr>
        <w:t>在中小学</w:t>
      </w:r>
      <w:r>
        <w:rPr>
          <w:rFonts w:ascii="仿宋_GB2312" w:eastAsia="仿宋_GB2312" w:hint="eastAsia"/>
          <w:sz w:val="32"/>
          <w:szCs w:val="32"/>
        </w:rPr>
        <w:t>挂牌</w:t>
      </w:r>
      <w:r>
        <w:rPr>
          <w:rFonts w:ascii="仿宋_GB2312" w:eastAsia="仿宋_GB2312"/>
          <w:sz w:val="32"/>
          <w:szCs w:val="32"/>
        </w:rPr>
        <w:t>，体校和普通中小学</w:t>
      </w:r>
      <w:r>
        <w:rPr>
          <w:rFonts w:ascii="仿宋_GB2312" w:eastAsia="仿宋_GB2312" w:hint="eastAsia"/>
          <w:sz w:val="32"/>
          <w:szCs w:val="32"/>
        </w:rPr>
        <w:t>“双名”</w:t>
      </w:r>
      <w:r>
        <w:rPr>
          <w:rFonts w:ascii="仿宋_GB2312" w:eastAsia="仿宋_GB2312"/>
          <w:sz w:val="32"/>
          <w:szCs w:val="32"/>
        </w:rPr>
        <w:t>并行</w:t>
      </w:r>
      <w:r>
        <w:rPr>
          <w:rFonts w:ascii="仿宋_GB2312" w:eastAsia="仿宋_GB2312"/>
          <w:sz w:val="32"/>
          <w:szCs w:val="32"/>
        </w:rPr>
        <w:t>)</w:t>
      </w:r>
      <w:r>
        <w:rPr>
          <w:rFonts w:ascii="仿宋_GB2312" w:eastAsia="仿宋_GB2312"/>
          <w:sz w:val="32"/>
          <w:szCs w:val="32"/>
        </w:rPr>
        <w:t>，在突出体校专业特色和体育后备人才培养任务的同时，推动建立青少年体育训练中心，配备复合型教练员保障团队。将柳州市体校义务教育适龄学生的文化教育全部</w:t>
      </w:r>
      <w:r>
        <w:rPr>
          <w:rFonts w:ascii="仿宋_GB2312" w:eastAsia="仿宋_GB2312"/>
          <w:sz w:val="32"/>
          <w:szCs w:val="32"/>
        </w:rPr>
        <w:lastRenderedPageBreak/>
        <w:t>纳入国民教育体系</w:t>
      </w:r>
      <w:r>
        <w:rPr>
          <w:rFonts w:ascii="仿宋_GB2312" w:eastAsia="仿宋_GB2312" w:hint="eastAsia"/>
          <w:sz w:val="32"/>
          <w:szCs w:val="32"/>
        </w:rPr>
        <w:t>，</w:t>
      </w:r>
      <w:r>
        <w:rPr>
          <w:rFonts w:ascii="仿宋_GB2312" w:eastAsia="仿宋_GB2312"/>
          <w:sz w:val="32"/>
          <w:szCs w:val="32"/>
        </w:rPr>
        <w:t>继续实施市、县区</w:t>
      </w:r>
      <w:r>
        <w:rPr>
          <w:rFonts w:ascii="仿宋_GB2312" w:eastAsia="仿宋_GB2312"/>
          <w:sz w:val="32"/>
          <w:szCs w:val="32"/>
        </w:rPr>
        <w:t>(</w:t>
      </w:r>
      <w:r>
        <w:rPr>
          <w:rFonts w:ascii="仿宋_GB2312" w:eastAsia="仿宋_GB2312"/>
          <w:sz w:val="32"/>
          <w:szCs w:val="32"/>
        </w:rPr>
        <w:t>新区</w:t>
      </w:r>
      <w:r>
        <w:rPr>
          <w:rFonts w:ascii="仿宋_GB2312" w:eastAsia="仿宋_GB2312"/>
          <w:sz w:val="32"/>
          <w:szCs w:val="32"/>
        </w:rPr>
        <w:t>)</w:t>
      </w:r>
      <w:r>
        <w:rPr>
          <w:rFonts w:ascii="仿宋_GB2312" w:eastAsia="仿宋_GB2312"/>
          <w:sz w:val="32"/>
          <w:szCs w:val="32"/>
        </w:rPr>
        <w:t>基层体校与中学、小学共建联办计划，为青少年运动员提供更好教育资源。</w:t>
      </w:r>
    </w:p>
    <w:p w14:paraId="51EB0F94" w14:textId="77777777" w:rsidR="008A5C83" w:rsidRDefault="00A7141B">
      <w:pPr>
        <w:pStyle w:val="3"/>
        <w:numPr>
          <w:ilvl w:val="0"/>
          <w:numId w:val="0"/>
        </w:numPr>
        <w:spacing w:before="0" w:after="0" w:line="240" w:lineRule="auto"/>
        <w:ind w:firstLineChars="196" w:firstLine="630"/>
        <w:rPr>
          <w:rFonts w:ascii="仿宋_GB2312" w:eastAsia="仿宋_GB2312"/>
          <w:sz w:val="32"/>
        </w:rPr>
      </w:pPr>
      <w:r>
        <w:rPr>
          <w:rFonts w:ascii="仿宋_GB2312" w:eastAsia="仿宋_GB2312" w:hint="eastAsia"/>
          <w:sz w:val="32"/>
        </w:rPr>
        <w:t>3.</w:t>
      </w:r>
      <w:r>
        <w:rPr>
          <w:rFonts w:ascii="仿宋_GB2312" w:eastAsia="仿宋_GB2312" w:hint="eastAsia"/>
          <w:sz w:val="32"/>
        </w:rPr>
        <w:t>多元并举，助推青少年体育发展</w:t>
      </w:r>
    </w:p>
    <w:p w14:paraId="41C175BC"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加强学校体育工作，</w:t>
      </w:r>
      <w:r>
        <w:rPr>
          <w:rFonts w:ascii="仿宋_GB2312" w:eastAsia="仿宋_GB2312"/>
          <w:sz w:val="32"/>
          <w:szCs w:val="32"/>
        </w:rPr>
        <w:t>开展丰富多彩体育项目训练、竞赛活动，并融入学校体育教学、训练、竞赛体系。</w:t>
      </w:r>
      <w:r>
        <w:rPr>
          <w:rFonts w:ascii="仿宋_GB2312" w:eastAsia="仿宋_GB2312" w:hint="eastAsia"/>
          <w:sz w:val="32"/>
          <w:szCs w:val="32"/>
        </w:rPr>
        <w:t>大力支持各类学校开展少数民族传统体育项目教学和展示活动，将少数民族传统体育项目列为学校体育训练和竞赛活动的主要内容。组建</w:t>
      </w:r>
      <w:r>
        <w:rPr>
          <w:rFonts w:ascii="仿宋_GB2312" w:eastAsia="仿宋_GB2312" w:hint="eastAsia"/>
          <w:sz w:val="32"/>
          <w:szCs w:val="32"/>
        </w:rPr>
        <w:t>1</w:t>
      </w:r>
      <w:r>
        <w:rPr>
          <w:rFonts w:ascii="仿宋_GB2312" w:eastAsia="仿宋_GB2312" w:hint="eastAsia"/>
          <w:sz w:val="32"/>
          <w:szCs w:val="32"/>
        </w:rPr>
        <w:t>支以上的学校代表队，支持各级各类学校成立青少年体育俱乐部。按照“一校一品、一校多品”的体育模式，加强体育传统特色学校建设。</w:t>
      </w:r>
    </w:p>
    <w:p w14:paraId="35CE8663"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完善青少年体育赛事体系，</w:t>
      </w:r>
      <w:r>
        <w:rPr>
          <w:rFonts w:ascii="仿宋_GB2312" w:eastAsia="仿宋_GB2312"/>
          <w:sz w:val="32"/>
          <w:szCs w:val="32"/>
        </w:rPr>
        <w:t>建立重点项目的联赛体系</w:t>
      </w:r>
      <w:r>
        <w:rPr>
          <w:rFonts w:ascii="仿宋_GB2312" w:eastAsia="仿宋_GB2312" w:hint="eastAsia"/>
          <w:sz w:val="32"/>
          <w:szCs w:val="32"/>
        </w:rPr>
        <w:t>。</w:t>
      </w:r>
      <w:r>
        <w:rPr>
          <w:rFonts w:ascii="仿宋_GB2312" w:eastAsia="仿宋_GB2312"/>
          <w:sz w:val="32"/>
          <w:szCs w:val="32"/>
        </w:rPr>
        <w:t>扩大运动队规模</w:t>
      </w:r>
      <w:r>
        <w:rPr>
          <w:rFonts w:ascii="仿宋_GB2312" w:eastAsia="仿宋_GB2312" w:hint="eastAsia"/>
          <w:sz w:val="32"/>
          <w:szCs w:val="32"/>
        </w:rPr>
        <w:t>，</w:t>
      </w:r>
      <w:r>
        <w:rPr>
          <w:rFonts w:ascii="仿宋_GB2312" w:eastAsia="仿宋_GB2312"/>
          <w:sz w:val="32"/>
          <w:szCs w:val="32"/>
        </w:rPr>
        <w:t>积极参加全国各级各类学生</w:t>
      </w:r>
      <w:r>
        <w:rPr>
          <w:rFonts w:ascii="仿宋_GB2312" w:eastAsia="仿宋_GB2312"/>
          <w:sz w:val="32"/>
          <w:szCs w:val="32"/>
        </w:rPr>
        <w:t>(</w:t>
      </w:r>
      <w:r>
        <w:rPr>
          <w:rFonts w:ascii="仿宋_GB2312" w:eastAsia="仿宋_GB2312"/>
          <w:sz w:val="32"/>
          <w:szCs w:val="32"/>
        </w:rPr>
        <w:t>青少年</w:t>
      </w:r>
      <w:r>
        <w:rPr>
          <w:rFonts w:ascii="仿宋_GB2312" w:eastAsia="仿宋_GB2312"/>
          <w:sz w:val="32"/>
          <w:szCs w:val="32"/>
        </w:rPr>
        <w:t>)</w:t>
      </w:r>
      <w:r>
        <w:rPr>
          <w:rFonts w:ascii="仿宋_GB2312" w:eastAsia="仿宋_GB2312"/>
          <w:sz w:val="32"/>
          <w:szCs w:val="32"/>
        </w:rPr>
        <w:t>体育赛事</w:t>
      </w:r>
      <w:r>
        <w:rPr>
          <w:rFonts w:ascii="仿宋_GB2312" w:eastAsia="仿宋_GB2312" w:hint="eastAsia"/>
          <w:sz w:val="32"/>
          <w:szCs w:val="32"/>
        </w:rPr>
        <w:t>。</w:t>
      </w:r>
      <w:r>
        <w:rPr>
          <w:rFonts w:ascii="仿宋_GB2312" w:eastAsia="仿宋_GB2312"/>
          <w:sz w:val="32"/>
          <w:szCs w:val="32"/>
        </w:rPr>
        <w:t>依托各县区</w:t>
      </w:r>
      <w:r>
        <w:rPr>
          <w:rFonts w:ascii="仿宋_GB2312" w:eastAsia="仿宋_GB2312"/>
          <w:sz w:val="32"/>
          <w:szCs w:val="32"/>
        </w:rPr>
        <w:t>(</w:t>
      </w:r>
      <w:r>
        <w:rPr>
          <w:rFonts w:ascii="仿宋_GB2312" w:eastAsia="仿宋_GB2312"/>
          <w:sz w:val="32"/>
          <w:szCs w:val="32"/>
        </w:rPr>
        <w:t>开发区</w:t>
      </w:r>
      <w:r>
        <w:rPr>
          <w:rFonts w:ascii="仿宋_GB2312" w:eastAsia="仿宋_GB2312"/>
          <w:sz w:val="32"/>
          <w:szCs w:val="32"/>
        </w:rPr>
        <w:t>)</w:t>
      </w:r>
      <w:r>
        <w:rPr>
          <w:rFonts w:ascii="仿宋_GB2312" w:eastAsia="仿宋_GB2312"/>
          <w:sz w:val="32"/>
          <w:szCs w:val="32"/>
        </w:rPr>
        <w:t>各学校各训练基地优势运动项目，优化项目布局</w:t>
      </w:r>
      <w:r>
        <w:rPr>
          <w:rFonts w:ascii="仿宋_GB2312" w:eastAsia="仿宋_GB2312"/>
          <w:sz w:val="32"/>
          <w:szCs w:val="32"/>
        </w:rPr>
        <w:t>;</w:t>
      </w:r>
      <w:r>
        <w:rPr>
          <w:rFonts w:ascii="仿宋_GB2312" w:eastAsia="仿宋_GB2312"/>
          <w:sz w:val="32"/>
          <w:szCs w:val="32"/>
        </w:rPr>
        <w:t>建立健全教育、体育行政主管部门赛事成绩互认、运动员等级评定机制，形成联合选定拔组队参加全国各级、各类学生</w:t>
      </w:r>
      <w:r>
        <w:rPr>
          <w:rFonts w:ascii="仿宋_GB2312" w:eastAsia="仿宋_GB2312"/>
          <w:sz w:val="32"/>
          <w:szCs w:val="32"/>
        </w:rPr>
        <w:t>(</w:t>
      </w:r>
      <w:r>
        <w:rPr>
          <w:rFonts w:ascii="仿宋_GB2312" w:eastAsia="仿宋_GB2312"/>
          <w:sz w:val="32"/>
          <w:szCs w:val="32"/>
        </w:rPr>
        <w:t>青少年</w:t>
      </w:r>
      <w:r>
        <w:rPr>
          <w:rFonts w:ascii="仿宋_GB2312" w:eastAsia="仿宋_GB2312"/>
          <w:sz w:val="32"/>
          <w:szCs w:val="32"/>
        </w:rPr>
        <w:t>)</w:t>
      </w:r>
      <w:r>
        <w:rPr>
          <w:rFonts w:ascii="仿宋_GB2312" w:eastAsia="仿宋_GB2312"/>
          <w:sz w:val="32"/>
          <w:szCs w:val="32"/>
        </w:rPr>
        <w:t>体育竞赛。教育、</w:t>
      </w:r>
      <w:r>
        <w:rPr>
          <w:rFonts w:ascii="仿宋_GB2312" w:eastAsia="仿宋_GB2312"/>
          <w:sz w:val="32"/>
          <w:szCs w:val="32"/>
        </w:rPr>
        <w:lastRenderedPageBreak/>
        <w:t>体育行政主管部门共同组织青少年体育赛事，将运动队建设与中小学体育竞赛相衔接，纳入全市竞的</w:t>
      </w:r>
      <w:proofErr w:type="gramStart"/>
      <w:r>
        <w:rPr>
          <w:rFonts w:ascii="仿宋_GB2312" w:eastAsia="仿宋_GB2312"/>
          <w:sz w:val="32"/>
          <w:szCs w:val="32"/>
        </w:rPr>
        <w:t>技体育</w:t>
      </w:r>
      <w:proofErr w:type="gramEnd"/>
      <w:r>
        <w:rPr>
          <w:rFonts w:ascii="仿宋_GB2312" w:eastAsia="仿宋_GB2312"/>
          <w:sz w:val="32"/>
          <w:szCs w:val="32"/>
        </w:rPr>
        <w:t>后备人才培养体系。充分发挥单项协会的专业性、权威性，单项协会每年举办</w:t>
      </w:r>
      <w:r>
        <w:rPr>
          <w:rFonts w:ascii="仿宋_GB2312" w:eastAsia="仿宋_GB2312"/>
          <w:sz w:val="32"/>
          <w:szCs w:val="32"/>
        </w:rPr>
        <w:t>1</w:t>
      </w:r>
      <w:r>
        <w:rPr>
          <w:rFonts w:ascii="仿宋_GB2312" w:eastAsia="仿宋_GB2312"/>
          <w:sz w:val="32"/>
          <w:szCs w:val="32"/>
        </w:rPr>
        <w:t>次以上单项体育赛事。</w:t>
      </w:r>
    </w:p>
    <w:p w14:paraId="4F065CAE" w14:textId="77777777" w:rsidR="008A5C83" w:rsidRDefault="00A7141B">
      <w:pPr>
        <w:pStyle w:val="3"/>
        <w:numPr>
          <w:ilvl w:val="0"/>
          <w:numId w:val="0"/>
        </w:numPr>
        <w:spacing w:before="0" w:after="0" w:line="240" w:lineRule="auto"/>
        <w:ind w:left="567"/>
        <w:rPr>
          <w:rFonts w:ascii="仿宋_GB2312" w:eastAsia="仿宋_GB2312"/>
          <w:sz w:val="32"/>
        </w:rPr>
      </w:pPr>
      <w:bookmarkStart w:id="81" w:name="_Toc63007013"/>
      <w:bookmarkStart w:id="82" w:name="_Toc63006327"/>
      <w:r>
        <w:rPr>
          <w:rFonts w:ascii="仿宋_GB2312" w:eastAsia="仿宋_GB2312" w:hint="eastAsia"/>
          <w:sz w:val="32"/>
        </w:rPr>
        <w:t>4</w:t>
      </w:r>
      <w:r>
        <w:rPr>
          <w:rFonts w:ascii="仿宋_GB2312" w:eastAsia="仿宋_GB2312" w:hint="eastAsia"/>
          <w:sz w:val="32"/>
        </w:rPr>
        <w:t>.</w:t>
      </w:r>
      <w:r>
        <w:rPr>
          <w:rFonts w:ascii="仿宋_GB2312" w:eastAsia="仿宋_GB2312" w:hint="eastAsia"/>
          <w:sz w:val="32"/>
        </w:rPr>
        <w:t>培育品牌体育赛事，提升赛事承办能力</w:t>
      </w:r>
      <w:bookmarkEnd w:id="81"/>
      <w:bookmarkEnd w:id="82"/>
    </w:p>
    <w:p w14:paraId="421E5B73"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紧紧围绕柳州</w:t>
      </w:r>
      <w:proofErr w:type="gramStart"/>
      <w:r>
        <w:rPr>
          <w:rFonts w:ascii="仿宋_GB2312" w:eastAsia="仿宋_GB2312" w:hint="eastAsia"/>
          <w:sz w:val="32"/>
          <w:szCs w:val="32"/>
        </w:rPr>
        <w:t>市特色</w:t>
      </w:r>
      <w:proofErr w:type="gramEnd"/>
      <w:r>
        <w:rPr>
          <w:rFonts w:ascii="仿宋_GB2312" w:eastAsia="仿宋_GB2312" w:hint="eastAsia"/>
          <w:sz w:val="32"/>
          <w:szCs w:val="32"/>
        </w:rPr>
        <w:t>产业资源，加快培育品牌赛事，着力打造培育水上休闲运动、水上摩托艇、汽车运动、自行车运动、户外探险、航空航模飞行等时尚体育品牌赛事。助力民间体育协会发展特色品牌赛事，以“大型带动、小型多样、突出特色、创建品牌”为工作思路，统筹规划，精心设计，按“</w:t>
      </w:r>
      <w:proofErr w:type="gramStart"/>
      <w:r>
        <w:rPr>
          <w:rFonts w:ascii="仿宋_GB2312" w:eastAsia="仿宋_GB2312" w:hint="eastAsia"/>
          <w:sz w:val="32"/>
          <w:szCs w:val="32"/>
        </w:rPr>
        <w:t>一</w:t>
      </w:r>
      <w:proofErr w:type="gramEnd"/>
      <w:r>
        <w:rPr>
          <w:rFonts w:ascii="仿宋_GB2312" w:eastAsia="仿宋_GB2312" w:hint="eastAsia"/>
          <w:sz w:val="32"/>
          <w:szCs w:val="32"/>
        </w:rPr>
        <w:t>协会</w:t>
      </w:r>
      <w:proofErr w:type="gramStart"/>
      <w:r>
        <w:rPr>
          <w:rFonts w:ascii="仿宋_GB2312" w:eastAsia="仿宋_GB2312" w:hint="eastAsia"/>
          <w:sz w:val="32"/>
          <w:szCs w:val="32"/>
        </w:rPr>
        <w:t>一</w:t>
      </w:r>
      <w:proofErr w:type="gramEnd"/>
      <w:r>
        <w:rPr>
          <w:rFonts w:ascii="仿宋_GB2312" w:eastAsia="仿宋_GB2312" w:hint="eastAsia"/>
          <w:sz w:val="32"/>
          <w:szCs w:val="32"/>
        </w:rPr>
        <w:t>品牌”的标准，初步形成具有柳州历史文化底蕴和品牌特色的赛事集群。在不影响竞赛服务功能的前提下，对以财政性资金为办赛经费主要来源的竞技比赛，通过招标、政府购买服务等方式逐步推向市场。扶持体育竞赛衍生产品和服务供给等企业发展，推动体育竞赛产业全面发展和体育消费内涵提升。加强与国内、国际著名体育竞赛运营公司的联系与合作，吸引一</w:t>
      </w:r>
      <w:r>
        <w:rPr>
          <w:rFonts w:ascii="仿宋_GB2312" w:eastAsia="仿宋_GB2312" w:hint="eastAsia"/>
          <w:sz w:val="32"/>
          <w:szCs w:val="32"/>
        </w:rPr>
        <w:lastRenderedPageBreak/>
        <w:t>流的体育竞赛经营公司在柳州市设立分支机构，推动形成柳州市体育竞赛经营公司良性竞争、共赢发展的态势。</w:t>
      </w:r>
    </w:p>
    <w:p w14:paraId="21A71542" w14:textId="77777777" w:rsidR="008A5C83" w:rsidRDefault="00A7141B">
      <w:pPr>
        <w:pStyle w:val="3"/>
        <w:numPr>
          <w:ilvl w:val="0"/>
          <w:numId w:val="0"/>
        </w:numPr>
        <w:spacing w:before="0" w:after="0" w:line="240" w:lineRule="auto"/>
        <w:ind w:left="567"/>
        <w:rPr>
          <w:rFonts w:ascii="仿宋_GB2312" w:eastAsia="仿宋_GB2312"/>
          <w:sz w:val="32"/>
        </w:rPr>
      </w:pPr>
      <w:bookmarkStart w:id="83" w:name="_Toc63006328"/>
      <w:bookmarkStart w:id="84" w:name="_Toc63007014"/>
      <w:r>
        <w:rPr>
          <w:rFonts w:ascii="仿宋_GB2312" w:eastAsia="仿宋_GB2312" w:hint="eastAsia"/>
          <w:sz w:val="32"/>
        </w:rPr>
        <w:t>5</w:t>
      </w:r>
      <w:r>
        <w:rPr>
          <w:rFonts w:ascii="仿宋_GB2312" w:eastAsia="仿宋_GB2312" w:hint="eastAsia"/>
          <w:sz w:val="32"/>
        </w:rPr>
        <w:t>.</w:t>
      </w:r>
      <w:r>
        <w:rPr>
          <w:rFonts w:ascii="仿宋_GB2312" w:eastAsia="仿宋_GB2312" w:hint="eastAsia"/>
          <w:sz w:val="32"/>
        </w:rPr>
        <w:t>筹办重大体育赛事，强化竞技体育水平</w:t>
      </w:r>
      <w:bookmarkEnd w:id="83"/>
      <w:bookmarkEnd w:id="84"/>
    </w:p>
    <w:p w14:paraId="21E74D96"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充分利用柳州市城乡健身设施相对健全的优势，积极承办</w:t>
      </w:r>
      <w:r>
        <w:rPr>
          <w:rFonts w:ascii="仿宋_GB2312" w:eastAsia="仿宋_GB2312" w:hint="eastAsia"/>
          <w:sz w:val="32"/>
          <w:szCs w:val="32"/>
        </w:rPr>
        <w:t>区级</w:t>
      </w:r>
      <w:r>
        <w:rPr>
          <w:rFonts w:ascii="仿宋_GB2312" w:eastAsia="仿宋_GB2312" w:hint="eastAsia"/>
          <w:sz w:val="32"/>
          <w:szCs w:val="32"/>
        </w:rPr>
        <w:t>大型体育竞赛事活动，充分展现竞技体育活动的魅力。以举办和承办</w:t>
      </w:r>
      <w:r>
        <w:rPr>
          <w:rFonts w:ascii="仿宋_GB2312" w:eastAsia="仿宋_GB2312" w:hint="eastAsia"/>
          <w:sz w:val="32"/>
          <w:szCs w:val="32"/>
        </w:rPr>
        <w:t>区级</w:t>
      </w:r>
      <w:r>
        <w:rPr>
          <w:rFonts w:ascii="仿宋_GB2312" w:eastAsia="仿宋_GB2312" w:hint="eastAsia"/>
          <w:sz w:val="32"/>
          <w:szCs w:val="32"/>
        </w:rPr>
        <w:t>综合性体育运动会为牵引，通过智慧体育平台选拔优秀体育人才代表柳州和广西参加比赛，积极提升竞技体育水平。认真部署，积极筹备全国第三届青年运动会艺术体操、射箭等项目、备战自治区第十五届运动会、举办柳州市第十五届运动会，办好环广西公路自行车世界巡回赛、世界铁人三项赛柳州站比赛，城市围棋联赛、中国柳州国际水上休闲运动会、“百里柳江”公路自行车邀请赛、鹿寨中渡古镇半程马拉松赛等赛事，协调宣传部门、财政、公安、文广旅、住建、交通、海事等有关部门加大对办赛的扶持力度。同时，继续扶持体操、举重、田径、游泳等我市传统体育优势和潜在优势项目，支持申报国家、自治区综合性、单项训练基地。</w:t>
      </w:r>
    </w:p>
    <w:p w14:paraId="41982758" w14:textId="77777777" w:rsidR="008A5C83" w:rsidRDefault="00A7141B">
      <w:pPr>
        <w:pStyle w:val="2"/>
        <w:spacing w:before="0" w:after="0"/>
        <w:rPr>
          <w:color w:val="auto"/>
          <w:sz w:val="32"/>
        </w:rPr>
      </w:pPr>
      <w:bookmarkStart w:id="85" w:name="_Toc63007015"/>
      <w:bookmarkStart w:id="86" w:name="_Toc55920316"/>
      <w:r>
        <w:rPr>
          <w:rFonts w:hint="eastAsia"/>
          <w:color w:val="auto"/>
          <w:sz w:val="32"/>
        </w:rPr>
        <w:lastRenderedPageBreak/>
        <w:t xml:space="preserve">   </w:t>
      </w:r>
      <w:r>
        <w:rPr>
          <w:rFonts w:hint="eastAsia"/>
          <w:color w:val="auto"/>
          <w:sz w:val="32"/>
        </w:rPr>
        <w:t>（四）实施体育产业跨越发展行动，培育经济发展新动能</w:t>
      </w:r>
      <w:bookmarkEnd w:id="85"/>
      <w:bookmarkEnd w:id="86"/>
    </w:p>
    <w:p w14:paraId="052A291F" w14:textId="77777777" w:rsidR="008A5C83" w:rsidRDefault="00A7141B">
      <w:pPr>
        <w:pStyle w:val="3"/>
        <w:numPr>
          <w:ilvl w:val="0"/>
          <w:numId w:val="0"/>
        </w:numPr>
        <w:spacing w:before="0" w:after="0" w:line="240" w:lineRule="auto"/>
        <w:ind w:left="567"/>
        <w:rPr>
          <w:rFonts w:ascii="仿宋_GB2312" w:eastAsia="仿宋_GB2312"/>
          <w:sz w:val="32"/>
        </w:rPr>
      </w:pPr>
      <w:bookmarkStart w:id="87" w:name="_Toc63006330"/>
      <w:bookmarkStart w:id="88" w:name="_Toc63007016"/>
      <w:r>
        <w:rPr>
          <w:rFonts w:ascii="仿宋_GB2312" w:eastAsia="仿宋_GB2312" w:hint="eastAsia"/>
          <w:sz w:val="32"/>
        </w:rPr>
        <w:t>1.</w:t>
      </w:r>
      <w:r>
        <w:rPr>
          <w:rFonts w:ascii="仿宋_GB2312" w:eastAsia="仿宋_GB2312" w:hint="eastAsia"/>
          <w:sz w:val="32"/>
        </w:rPr>
        <w:t>改革体育产业发展体制，推进体育产业跨越式发展</w:t>
      </w:r>
      <w:bookmarkEnd w:id="87"/>
      <w:bookmarkEnd w:id="88"/>
    </w:p>
    <w:p w14:paraId="3D784F0C"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以国务院办公厅发布的《关于促进全民健身和体育消费推动体育产业高质量发展的意见》为指导，深化“放管服”改革，释放体育产业发展潜能。体育赛事活动资源、培训项目等符合条件的都要通过公开方式交由市场主体承办。鼓励将赛事活动承办权、场馆运营权等通过产权交易平台公开交易。落实已有税费政策，完善体育无形资产评估制度，加大金融支持力度。重点发展体育旅游业；大力发展竞赛表演业；培育、扶持体育中介业、体育培训业和体育彩票业；壮大体育用品生产销售业；进一步发展体育会展业。加快体育供给侧结构性改革，优化体育产业结构布局，以重点领域的跨越式发展助</w:t>
      </w:r>
      <w:proofErr w:type="gramStart"/>
      <w:r>
        <w:rPr>
          <w:rFonts w:ascii="仿宋_GB2312" w:eastAsia="仿宋_GB2312" w:hint="eastAsia"/>
          <w:sz w:val="32"/>
          <w:szCs w:val="32"/>
        </w:rPr>
        <w:t>推体育</w:t>
      </w:r>
      <w:proofErr w:type="gramEnd"/>
      <w:r>
        <w:rPr>
          <w:rFonts w:ascii="仿宋_GB2312" w:eastAsia="仿宋_GB2312" w:hint="eastAsia"/>
          <w:sz w:val="32"/>
          <w:szCs w:val="32"/>
        </w:rPr>
        <w:t>产业全面提升。</w:t>
      </w:r>
    </w:p>
    <w:p w14:paraId="4B7D4F75"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89" w:name="_Toc63006331"/>
      <w:bookmarkStart w:id="90" w:name="_Toc63007017"/>
      <w:r>
        <w:rPr>
          <w:rFonts w:ascii="仿宋_GB2312" w:eastAsia="仿宋_GB2312" w:hint="eastAsia"/>
          <w:sz w:val="32"/>
        </w:rPr>
        <w:t xml:space="preserve"> 2</w:t>
      </w:r>
      <w:r>
        <w:rPr>
          <w:rFonts w:ascii="仿宋_GB2312" w:eastAsia="仿宋_GB2312"/>
          <w:sz w:val="32"/>
        </w:rPr>
        <w:t>.</w:t>
      </w:r>
      <w:r>
        <w:rPr>
          <w:rFonts w:ascii="仿宋_GB2312" w:eastAsia="仿宋_GB2312" w:hint="eastAsia"/>
          <w:sz w:val="32"/>
        </w:rPr>
        <w:t>促进体育旅游与全域旅游深度触合，打造“广西体育旅游示范市”</w:t>
      </w:r>
      <w:bookmarkEnd w:id="89"/>
      <w:bookmarkEnd w:id="90"/>
    </w:p>
    <w:p w14:paraId="215E1C04"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以打造“广西体育旅游示范市”为契机，推进体育产</w:t>
      </w:r>
      <w:r>
        <w:rPr>
          <w:rFonts w:ascii="仿宋_GB2312" w:eastAsia="仿宋_GB2312" w:hint="eastAsia"/>
          <w:sz w:val="32"/>
          <w:szCs w:val="32"/>
        </w:rPr>
        <w:lastRenderedPageBreak/>
        <w:t>业持续健康发展。坚持制度创新、理念创新，将体育旅游产业作为体育产业的重要支柱。结合柳州市竞技体育优势项目和特色山水旅游项目，促进体育旅游与全域旅游深度触合，山地户外旅游、水上运动旅游、健身养生旅游等体育旅游产品不断丰富。通过培育一批具有竞争力的体育骨干企业和企业集团，形成一批有特色和影响力的体育产品品牌；建立以体育服务业为重点，门类齐全、结构合理的体育产业体系和规范有序、繁荣发展的体育市场；形成多种所有制并存，各种经济成分竞相参与、共同兴办体育产业的格局。</w:t>
      </w:r>
    </w:p>
    <w:p w14:paraId="32657722" w14:textId="77777777" w:rsidR="008A5C83" w:rsidRDefault="00A7141B">
      <w:pPr>
        <w:pStyle w:val="3"/>
        <w:numPr>
          <w:ilvl w:val="0"/>
          <w:numId w:val="0"/>
        </w:numPr>
        <w:spacing w:before="0" w:after="0" w:line="240" w:lineRule="auto"/>
        <w:ind w:left="643"/>
        <w:rPr>
          <w:rFonts w:ascii="仿宋_GB2312" w:eastAsia="仿宋_GB2312"/>
          <w:sz w:val="32"/>
        </w:rPr>
      </w:pPr>
      <w:bookmarkStart w:id="91" w:name="_Toc63007018"/>
      <w:bookmarkStart w:id="92" w:name="_Toc63006332"/>
      <w:r>
        <w:rPr>
          <w:rFonts w:ascii="仿宋_GB2312" w:eastAsia="仿宋_GB2312" w:hint="eastAsia"/>
          <w:sz w:val="32"/>
        </w:rPr>
        <w:t>3</w:t>
      </w:r>
      <w:r>
        <w:rPr>
          <w:rFonts w:ascii="仿宋_GB2312" w:eastAsia="仿宋_GB2312"/>
          <w:sz w:val="32"/>
        </w:rPr>
        <w:t>.</w:t>
      </w:r>
      <w:r>
        <w:rPr>
          <w:rFonts w:ascii="仿宋_GB2312" w:eastAsia="仿宋_GB2312" w:hint="eastAsia"/>
          <w:sz w:val="32"/>
        </w:rPr>
        <w:t>以特色小镇为引领，打造体育产业集群</w:t>
      </w:r>
      <w:bookmarkEnd w:id="91"/>
      <w:bookmarkEnd w:id="92"/>
    </w:p>
    <w:p w14:paraId="7998173C" w14:textId="77777777" w:rsidR="008A5C83" w:rsidRDefault="00A7141B">
      <w:pPr>
        <w:spacing w:line="240" w:lineRule="auto"/>
        <w:ind w:firstLine="640"/>
        <w:rPr>
          <w:rFonts w:ascii="仿宋_GB2312" w:eastAsia="仿宋_GB2312"/>
          <w:sz w:val="32"/>
          <w:szCs w:val="32"/>
        </w:rPr>
      </w:pPr>
      <w:proofErr w:type="gramStart"/>
      <w:r>
        <w:rPr>
          <w:rFonts w:ascii="仿宋_GB2312" w:eastAsia="仿宋_GB2312" w:hint="eastAsia"/>
          <w:sz w:val="32"/>
          <w:szCs w:val="32"/>
        </w:rPr>
        <w:t>借助柳南螺蛳</w:t>
      </w:r>
      <w:proofErr w:type="gramEnd"/>
      <w:r>
        <w:rPr>
          <w:rFonts w:ascii="仿宋_GB2312" w:eastAsia="仿宋_GB2312" w:hint="eastAsia"/>
          <w:sz w:val="32"/>
          <w:szCs w:val="32"/>
        </w:rPr>
        <w:t>粉小镇、柳东新区</w:t>
      </w:r>
      <w:proofErr w:type="gramStart"/>
      <w:r>
        <w:rPr>
          <w:rFonts w:ascii="仿宋_GB2312" w:eastAsia="仿宋_GB2312" w:hint="eastAsia"/>
          <w:sz w:val="32"/>
          <w:szCs w:val="32"/>
        </w:rPr>
        <w:t>雒容汽车</w:t>
      </w:r>
      <w:proofErr w:type="gramEnd"/>
      <w:r>
        <w:rPr>
          <w:rFonts w:ascii="仿宋_GB2312" w:eastAsia="仿宋_GB2312" w:hint="eastAsia"/>
          <w:sz w:val="32"/>
          <w:szCs w:val="32"/>
        </w:rPr>
        <w:t>特色小镇、鹿寨县中渡喀斯特山水古韵小镇、</w:t>
      </w:r>
      <w:proofErr w:type="gramStart"/>
      <w:r>
        <w:rPr>
          <w:rFonts w:ascii="仿宋_GB2312" w:eastAsia="仿宋_GB2312" w:hint="eastAsia"/>
          <w:sz w:val="32"/>
          <w:szCs w:val="32"/>
        </w:rPr>
        <w:t>静兰湾</w:t>
      </w:r>
      <w:proofErr w:type="gramEnd"/>
      <w:r>
        <w:rPr>
          <w:rFonts w:ascii="仿宋_GB2312" w:eastAsia="仿宋_GB2312" w:hint="eastAsia"/>
          <w:sz w:val="32"/>
          <w:szCs w:val="32"/>
        </w:rPr>
        <w:t>文化体育小镇、</w:t>
      </w:r>
      <w:proofErr w:type="gramStart"/>
      <w:r>
        <w:rPr>
          <w:rFonts w:ascii="仿宋_GB2312" w:eastAsia="仿宋_GB2312" w:hint="eastAsia"/>
          <w:sz w:val="32"/>
          <w:szCs w:val="32"/>
        </w:rPr>
        <w:t>柳江百朋莲花</w:t>
      </w:r>
      <w:proofErr w:type="gramEnd"/>
      <w:r>
        <w:rPr>
          <w:rFonts w:ascii="仿宋_GB2312" w:eastAsia="仿宋_GB2312" w:hint="eastAsia"/>
          <w:sz w:val="32"/>
          <w:szCs w:val="32"/>
        </w:rPr>
        <w:t>小镇等发展契机，以体育产业与相关产业的整合、就业人口及休闲</w:t>
      </w:r>
      <w:proofErr w:type="gramStart"/>
      <w:r>
        <w:rPr>
          <w:rFonts w:ascii="仿宋_GB2312" w:eastAsia="仿宋_GB2312" w:hint="eastAsia"/>
          <w:sz w:val="32"/>
          <w:szCs w:val="32"/>
        </w:rPr>
        <w:t>化消费</w:t>
      </w:r>
      <w:proofErr w:type="gramEnd"/>
      <w:r>
        <w:rPr>
          <w:rFonts w:ascii="仿宋_GB2312" w:eastAsia="仿宋_GB2312" w:hint="eastAsia"/>
          <w:sz w:val="32"/>
          <w:szCs w:val="32"/>
        </w:rPr>
        <w:t>的聚集、配套设施及服务的基础为依托，培育体育产业。通过要素整合和资源整合，形成整套的运营模式结构，从而为旅游休闲、特色小镇开</w:t>
      </w:r>
      <w:r>
        <w:rPr>
          <w:rFonts w:ascii="仿宋_GB2312" w:eastAsia="仿宋_GB2312" w:hint="eastAsia"/>
          <w:sz w:val="32"/>
          <w:szCs w:val="32"/>
        </w:rPr>
        <w:lastRenderedPageBreak/>
        <w:t>发建设及落地运营提供全产业链整合服务，促使相关项目的有效推进，引导相关体育产业落户柳州。</w:t>
      </w:r>
    </w:p>
    <w:p w14:paraId="5AC0485D"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93" w:name="_Toc63006333"/>
      <w:bookmarkStart w:id="94" w:name="_Toc63007019"/>
      <w:r>
        <w:rPr>
          <w:rFonts w:ascii="仿宋_GB2312" w:eastAsia="仿宋_GB2312" w:hint="eastAsia"/>
          <w:sz w:val="32"/>
        </w:rPr>
        <w:t>4</w:t>
      </w:r>
      <w:r>
        <w:rPr>
          <w:rFonts w:ascii="仿宋_GB2312" w:eastAsia="仿宋_GB2312"/>
          <w:sz w:val="32"/>
        </w:rPr>
        <w:t>.</w:t>
      </w:r>
      <w:r>
        <w:rPr>
          <w:rFonts w:ascii="仿宋_GB2312" w:eastAsia="仿宋_GB2312" w:hint="eastAsia"/>
          <w:sz w:val="32"/>
        </w:rPr>
        <w:t>刺激需求促进体育消费，推动体育产业高质量发展</w:t>
      </w:r>
      <w:bookmarkEnd w:id="93"/>
      <w:bookmarkEnd w:id="94"/>
    </w:p>
    <w:p w14:paraId="1DA50376"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建立现代体育产业体系，推动体育与旅游、健康、养老等融合发展，积极培育潜在需求大的体育消费新业态，进一步发挥体育产业在扩大内需、推动经济结构转型升级、促进就业和培育经济发展新动能中的作用，满足人民日益增长的美好生活需要，推进体育强国和健康中国建设。</w:t>
      </w:r>
    </w:p>
    <w:p w14:paraId="5E827A04"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大力发展健身休闲消费，重点支持消费引领性强的健身休闲项目发展。结合柳州市自身的资源环境，形成新的体育消费热点。鼓励体育用品制造企业投资，提升产品科技含量和个性化设计水平，结合可穿戴式运动设备、</w:t>
      </w:r>
      <w:r>
        <w:rPr>
          <w:rFonts w:ascii="仿宋_GB2312" w:eastAsia="仿宋_GB2312" w:hint="eastAsia"/>
          <w:sz w:val="32"/>
          <w:szCs w:val="32"/>
        </w:rPr>
        <w:t>VR</w:t>
      </w:r>
      <w:r>
        <w:rPr>
          <w:rFonts w:ascii="仿宋_GB2312" w:eastAsia="仿宋_GB2312" w:hint="eastAsia"/>
          <w:sz w:val="32"/>
          <w:szCs w:val="32"/>
        </w:rPr>
        <w:t>虚拟现实技术、物联网管理平台等，研发多样化、智能化的体育产品，更好满足群众不断升级的消费需求。</w:t>
      </w:r>
    </w:p>
    <w:p w14:paraId="4E8FD57A"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95" w:name="_Toc63006334"/>
      <w:bookmarkStart w:id="96" w:name="_Toc63007020"/>
      <w:r>
        <w:rPr>
          <w:rFonts w:ascii="仿宋_GB2312" w:eastAsia="仿宋_GB2312" w:hint="eastAsia"/>
          <w:sz w:val="32"/>
        </w:rPr>
        <w:t>5</w:t>
      </w:r>
      <w:r>
        <w:rPr>
          <w:rFonts w:ascii="仿宋_GB2312" w:eastAsia="仿宋_GB2312"/>
          <w:sz w:val="32"/>
        </w:rPr>
        <w:t>.</w:t>
      </w:r>
      <w:r>
        <w:rPr>
          <w:rFonts w:ascii="仿宋_GB2312" w:eastAsia="仿宋_GB2312" w:hint="eastAsia"/>
          <w:sz w:val="32"/>
        </w:rPr>
        <w:t>培育体育竞赛表演业，增强体育赛事市场化运作水平</w:t>
      </w:r>
      <w:bookmarkEnd w:id="95"/>
      <w:bookmarkEnd w:id="96"/>
    </w:p>
    <w:p w14:paraId="7EFD83FB"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lastRenderedPageBreak/>
        <w:t>依托柳州山水资源优势，坚持“政府引导、社会参与、市场运作”的发展模式，积极开发体育赛事资源，继续举办好柳州国际水上休闲运动会、柳州国际水上狂欢节等一批有影响、有规模，社会效益好的</w:t>
      </w:r>
      <w:proofErr w:type="gramStart"/>
      <w:r>
        <w:rPr>
          <w:rFonts w:ascii="仿宋_GB2312" w:eastAsia="仿宋_GB2312" w:hint="eastAsia"/>
          <w:sz w:val="32"/>
          <w:szCs w:val="32"/>
        </w:rPr>
        <w:t>品牌赛事</w:t>
      </w:r>
      <w:proofErr w:type="gramEnd"/>
      <w:r>
        <w:rPr>
          <w:rFonts w:ascii="仿宋_GB2312" w:eastAsia="仿宋_GB2312" w:hint="eastAsia"/>
          <w:sz w:val="32"/>
          <w:szCs w:val="32"/>
        </w:rPr>
        <w:t>和节庆活动，大力培育具有自主知识产权的品牌体育赛事和活动。推进体育竞赛市场化运作，促进主办赛事主体多元化，进一步激活竞赛表演市场，增强体育赛事市场化运作水平，引导和扩大体育消费群体。支持和鼓励各地举办和引进国内外高水平赛事，在引进国际、国内单项体育组织赛事的基础上，创新打造出一批具有独立知识产权的赛事品牌，并打造赛事产业链，开发赛事衍生品。</w:t>
      </w:r>
    </w:p>
    <w:p w14:paraId="5EBD2C24"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97" w:name="_Toc63006335"/>
      <w:bookmarkStart w:id="98" w:name="_Toc63007021"/>
      <w:r>
        <w:rPr>
          <w:rFonts w:ascii="仿宋_GB2312" w:eastAsia="仿宋_GB2312" w:hint="eastAsia"/>
          <w:sz w:val="32"/>
        </w:rPr>
        <w:t>6</w:t>
      </w:r>
      <w:r>
        <w:rPr>
          <w:rFonts w:ascii="仿宋_GB2312" w:eastAsia="仿宋_GB2312"/>
          <w:sz w:val="32"/>
        </w:rPr>
        <w:t>.</w:t>
      </w:r>
      <w:r>
        <w:rPr>
          <w:rFonts w:ascii="仿宋_GB2312" w:eastAsia="仿宋_GB2312" w:hint="eastAsia"/>
          <w:sz w:val="32"/>
        </w:rPr>
        <w:t>完善体育场地设施建设，增加体育产业发展动力</w:t>
      </w:r>
      <w:bookmarkEnd w:id="97"/>
      <w:bookmarkEnd w:id="98"/>
    </w:p>
    <w:p w14:paraId="1A5359F1" w14:textId="77777777" w:rsidR="008A5C83" w:rsidRDefault="00A7141B">
      <w:pPr>
        <w:spacing w:line="240" w:lineRule="auto"/>
        <w:ind w:firstLine="640"/>
        <w:rPr>
          <w:rFonts w:ascii="仿宋_GB2312" w:eastAsia="仿宋_GB2312"/>
          <w:sz w:val="32"/>
          <w:szCs w:val="32"/>
        </w:rPr>
      </w:pPr>
      <w:proofErr w:type="gramStart"/>
      <w:r>
        <w:rPr>
          <w:rFonts w:ascii="仿宋_GB2312" w:eastAsia="仿宋_GB2312" w:hint="eastAsia"/>
          <w:sz w:val="32"/>
          <w:szCs w:val="32"/>
        </w:rPr>
        <w:t>推进鱼峰区</w:t>
      </w:r>
      <w:proofErr w:type="gramEnd"/>
      <w:r>
        <w:rPr>
          <w:rFonts w:ascii="仿宋_GB2312" w:eastAsia="仿宋_GB2312" w:hint="eastAsia"/>
          <w:sz w:val="32"/>
          <w:szCs w:val="32"/>
        </w:rPr>
        <w:t>体育公园新开工建设并确保于</w:t>
      </w:r>
      <w:r>
        <w:rPr>
          <w:rFonts w:ascii="仿宋_GB2312" w:eastAsia="仿宋_GB2312" w:hint="eastAsia"/>
          <w:sz w:val="32"/>
          <w:szCs w:val="32"/>
        </w:rPr>
        <w:t>2</w:t>
      </w:r>
      <w:r>
        <w:rPr>
          <w:rFonts w:ascii="仿宋_GB2312" w:eastAsia="仿宋_GB2312"/>
          <w:sz w:val="32"/>
          <w:szCs w:val="32"/>
        </w:rPr>
        <w:t>023</w:t>
      </w:r>
      <w:r>
        <w:rPr>
          <w:rFonts w:ascii="仿宋_GB2312" w:eastAsia="仿宋_GB2312" w:hint="eastAsia"/>
          <w:sz w:val="32"/>
          <w:szCs w:val="32"/>
        </w:rPr>
        <w:t>年建成投入使用；完成柳北区体育公园、柳南区体育公园、柳江区体育公园、鹿寨县体育公园、柳城县东区体育公园、三江县文体中心、融安河西体育公园的续建及移交工作，尽早实现向社会开放运营；加快推进柳州体育中心、融水民</w:t>
      </w:r>
      <w:r>
        <w:rPr>
          <w:rFonts w:ascii="仿宋_GB2312" w:eastAsia="仿宋_GB2312" w:hint="eastAsia"/>
          <w:sz w:val="32"/>
          <w:szCs w:val="32"/>
        </w:rPr>
        <w:lastRenderedPageBreak/>
        <w:t>族体育公园、城中区体育公园、柳东新区体育中心升级改造和运营服务水平提升。编制各级国土空间规划时统筹考虑体育用地布局，在安排年度土地利用计划时，加大对体育产业新增建设用地的支持力度，重点保障未来</w:t>
      </w:r>
      <w:r>
        <w:rPr>
          <w:rFonts w:ascii="仿宋_GB2312" w:eastAsia="仿宋_GB2312" w:hint="eastAsia"/>
          <w:sz w:val="32"/>
          <w:szCs w:val="32"/>
        </w:rPr>
        <w:t>5</w:t>
      </w:r>
      <w:r>
        <w:rPr>
          <w:rFonts w:ascii="仿宋_GB2312" w:eastAsia="仿宋_GB2312" w:hint="eastAsia"/>
          <w:sz w:val="32"/>
          <w:szCs w:val="32"/>
        </w:rPr>
        <w:t>年内承办重大赛事所需要的项目用地和相关设施用地。优化体育产业供地，鼓励利用既有设施改造及合理利用公园绿地、市政用地等建设体育设施，组织实施全民健身提升工程，挖掘学校体育场地设施开放潜力，建立体育场馆安保等级评价制度。争取资金支持完成市内各城区体育公园建设的同时，增强城市中心区体育用户的黏性，打造自治区星级体育综合体。</w:t>
      </w:r>
    </w:p>
    <w:p w14:paraId="0AAE2581"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99" w:name="_Toc63007022"/>
      <w:bookmarkStart w:id="100" w:name="_Toc63006336"/>
      <w:r>
        <w:rPr>
          <w:rFonts w:ascii="仿宋_GB2312" w:eastAsia="仿宋_GB2312" w:hint="eastAsia"/>
          <w:sz w:val="32"/>
        </w:rPr>
        <w:t>7</w:t>
      </w:r>
      <w:r>
        <w:rPr>
          <w:rFonts w:ascii="仿宋_GB2312" w:eastAsia="仿宋_GB2312"/>
          <w:sz w:val="32"/>
        </w:rPr>
        <w:t>.</w:t>
      </w:r>
      <w:r>
        <w:rPr>
          <w:rFonts w:ascii="仿宋_GB2312" w:eastAsia="仿宋_GB2312" w:hint="eastAsia"/>
          <w:sz w:val="32"/>
        </w:rPr>
        <w:t>完善体育产业统计，健全体育产业名录库</w:t>
      </w:r>
      <w:bookmarkEnd w:id="99"/>
      <w:bookmarkEnd w:id="100"/>
    </w:p>
    <w:p w14:paraId="55E18D1E"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根据《体育产业统计分类</w:t>
      </w:r>
      <w:r>
        <w:rPr>
          <w:rFonts w:ascii="仿宋_GB2312" w:eastAsia="仿宋_GB2312" w:hint="eastAsia"/>
          <w:sz w:val="32"/>
          <w:szCs w:val="32"/>
        </w:rPr>
        <w:t>2019</w:t>
      </w:r>
      <w:r>
        <w:rPr>
          <w:rFonts w:ascii="仿宋_GB2312" w:eastAsia="仿宋_GB2312" w:hint="eastAsia"/>
          <w:sz w:val="32"/>
          <w:szCs w:val="32"/>
        </w:rPr>
        <w:t>》，我国体育产业</w:t>
      </w:r>
      <w:r>
        <w:rPr>
          <w:rFonts w:ascii="仿宋_GB2312" w:eastAsia="仿宋_GB2312" w:hint="eastAsia"/>
          <w:sz w:val="32"/>
          <w:szCs w:val="32"/>
        </w:rPr>
        <w:t>11</w:t>
      </w:r>
      <w:r>
        <w:rPr>
          <w:rFonts w:ascii="仿宋_GB2312" w:eastAsia="仿宋_GB2312" w:hint="eastAsia"/>
          <w:sz w:val="32"/>
          <w:szCs w:val="32"/>
        </w:rPr>
        <w:t>个大类所对应的</w:t>
      </w:r>
      <w:r>
        <w:rPr>
          <w:rFonts w:ascii="仿宋_GB2312" w:eastAsia="仿宋_GB2312" w:hint="eastAsia"/>
          <w:sz w:val="32"/>
          <w:szCs w:val="32"/>
        </w:rPr>
        <w:t>178</w:t>
      </w:r>
      <w:r>
        <w:rPr>
          <w:rFonts w:ascii="仿宋_GB2312" w:eastAsia="仿宋_GB2312" w:hint="eastAsia"/>
          <w:sz w:val="32"/>
          <w:szCs w:val="32"/>
        </w:rPr>
        <w:t>个国民经济行业小类均属于第二产业和第三产业，即经济普查完整地把体育产业涵盖其中。以第四次全国经济普查为基础，排重查</w:t>
      </w:r>
      <w:proofErr w:type="gramStart"/>
      <w:r>
        <w:rPr>
          <w:rFonts w:ascii="仿宋_GB2312" w:eastAsia="仿宋_GB2312" w:hint="eastAsia"/>
          <w:sz w:val="32"/>
          <w:szCs w:val="32"/>
        </w:rPr>
        <w:t>疑</w:t>
      </w:r>
      <w:proofErr w:type="gramEnd"/>
      <w:r>
        <w:rPr>
          <w:rFonts w:ascii="仿宋_GB2312" w:eastAsia="仿宋_GB2312" w:hint="eastAsia"/>
          <w:sz w:val="32"/>
          <w:szCs w:val="32"/>
        </w:rPr>
        <w:t>，查漏补缺，形成较为完善的柳州市体育产业单位名录库底册。建立并进一步</w:t>
      </w:r>
      <w:r>
        <w:rPr>
          <w:rFonts w:ascii="仿宋_GB2312" w:eastAsia="仿宋_GB2312" w:hint="eastAsia"/>
          <w:sz w:val="32"/>
          <w:szCs w:val="32"/>
        </w:rPr>
        <w:lastRenderedPageBreak/>
        <w:t>完善产业统计的相关工作机制，强化产业统计队伍建设，统筹考虑产业统计工作的经费保障，大力拓展产业统计工作内容。学习杭州、温州等发达地区的先进经验，未来可以形成以统计局为主导，每年出具前一年的体育产业公报和体育产业名录库。</w:t>
      </w:r>
    </w:p>
    <w:p w14:paraId="48EFAE23" w14:textId="77777777" w:rsidR="008A5C83" w:rsidRDefault="00A7141B">
      <w:pPr>
        <w:pStyle w:val="2"/>
        <w:spacing w:before="0" w:after="0"/>
        <w:rPr>
          <w:color w:val="auto"/>
          <w:sz w:val="32"/>
        </w:rPr>
      </w:pPr>
      <w:bookmarkStart w:id="101" w:name="_Toc55920317"/>
      <w:bookmarkStart w:id="102" w:name="_Toc63007023"/>
      <w:r>
        <w:rPr>
          <w:rFonts w:hint="eastAsia"/>
          <w:color w:val="auto"/>
          <w:sz w:val="32"/>
        </w:rPr>
        <w:t xml:space="preserve">   </w:t>
      </w:r>
      <w:r>
        <w:rPr>
          <w:rFonts w:hint="eastAsia"/>
          <w:color w:val="auto"/>
          <w:sz w:val="32"/>
        </w:rPr>
        <w:t>（五）推进足球事业发展，助力柳州足球崛起</w:t>
      </w:r>
      <w:bookmarkEnd w:id="101"/>
      <w:bookmarkEnd w:id="102"/>
    </w:p>
    <w:p w14:paraId="2DF84052"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103" w:name="_Toc63007024"/>
      <w:bookmarkStart w:id="104" w:name="_Toc63006338"/>
      <w:r>
        <w:rPr>
          <w:rFonts w:ascii="仿宋_GB2312" w:eastAsia="仿宋_GB2312" w:hint="eastAsia"/>
          <w:sz w:val="32"/>
        </w:rPr>
        <w:t>1</w:t>
      </w:r>
      <w:r>
        <w:rPr>
          <w:rFonts w:ascii="仿宋_GB2312" w:eastAsia="仿宋_GB2312"/>
          <w:sz w:val="32"/>
        </w:rPr>
        <w:t>.</w:t>
      </w:r>
      <w:r>
        <w:rPr>
          <w:rFonts w:ascii="仿宋_GB2312" w:eastAsia="仿宋_GB2312" w:hint="eastAsia"/>
          <w:sz w:val="32"/>
        </w:rPr>
        <w:t>创新协会管理体系，加强竞赛体系设计</w:t>
      </w:r>
      <w:bookmarkEnd w:id="103"/>
      <w:bookmarkEnd w:id="104"/>
    </w:p>
    <w:p w14:paraId="27C847D5"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以国家体育总局发布的《中国足球改革发展总体方案》为指导，逐步形成覆盖全市、组织完备、管理高效、协作有力、适应现代足球管理运营需要的协会管理体系。完善竞赛结构，扩大竞赛规模，增加竞赛种类，逐步形成赛制稳定、等级分明、衔接有序、遍及城乡的竞赛格局。尤其要注重与柳州市足球发展水平相协调，重点办好区域等级赛事、青少年等级赛事、校园足球赛事等赛事，逐步建立健全青少年联赛体系。积极倡导和组织行业、社区、企业、部队、中老年、五</w:t>
      </w:r>
      <w:proofErr w:type="gramStart"/>
      <w:r>
        <w:rPr>
          <w:rFonts w:ascii="仿宋_GB2312" w:eastAsia="仿宋_GB2312" w:hint="eastAsia"/>
          <w:sz w:val="32"/>
          <w:szCs w:val="32"/>
        </w:rPr>
        <w:t>人制</w:t>
      </w:r>
      <w:proofErr w:type="gramEnd"/>
      <w:r>
        <w:rPr>
          <w:rFonts w:ascii="仿宋_GB2312" w:eastAsia="仿宋_GB2312" w:hint="eastAsia"/>
          <w:sz w:val="32"/>
          <w:szCs w:val="32"/>
        </w:rPr>
        <w:t>、沙滩足球等赛事。</w:t>
      </w:r>
    </w:p>
    <w:p w14:paraId="49787924"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105" w:name="_Toc63007025"/>
      <w:bookmarkStart w:id="106" w:name="_Toc63006339"/>
      <w:r>
        <w:rPr>
          <w:rFonts w:ascii="仿宋_GB2312" w:eastAsia="仿宋_GB2312" w:hint="eastAsia"/>
          <w:sz w:val="32"/>
        </w:rPr>
        <w:t>2</w:t>
      </w:r>
      <w:r>
        <w:rPr>
          <w:rFonts w:ascii="仿宋_GB2312" w:eastAsia="仿宋_GB2312"/>
          <w:sz w:val="32"/>
        </w:rPr>
        <w:t>.</w:t>
      </w:r>
      <w:r>
        <w:rPr>
          <w:rFonts w:ascii="仿宋_GB2312" w:eastAsia="仿宋_GB2312" w:hint="eastAsia"/>
          <w:sz w:val="32"/>
        </w:rPr>
        <w:t>完善足球运动设施建设，推动足球运动发展普及</w:t>
      </w:r>
      <w:bookmarkEnd w:id="105"/>
      <w:bookmarkEnd w:id="106"/>
    </w:p>
    <w:p w14:paraId="2DCC2DD9"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lastRenderedPageBreak/>
        <w:t>把兴建足球场纳入城镇化和新农村建设总体规划，明确刚性要求，由各级政府组织实施。因地制宜建设足球场，充分利用城市和乡村的荒地、闲置地、公园等，创造条件满足校园足球活动的场地要求。结合实际情况，在城市生态修复功能完善、城镇老旧小区改造等统筹建设社区足球场地和社区健身设施。</w:t>
      </w:r>
      <w:r>
        <w:rPr>
          <w:rFonts w:ascii="仿宋_GB2312" w:eastAsia="仿宋_GB2312" w:hint="eastAsia"/>
          <w:sz w:val="32"/>
          <w:szCs w:val="32"/>
        </w:rPr>
        <w:t xml:space="preserve"> </w:t>
      </w:r>
      <w:r>
        <w:rPr>
          <w:rFonts w:ascii="仿宋_GB2312" w:eastAsia="仿宋_GB2312" w:hint="eastAsia"/>
          <w:sz w:val="32"/>
          <w:szCs w:val="32"/>
        </w:rPr>
        <w:t>坚持以人为本，推动社会足球加快发展，不断扩大足球人口规模。鼓励机关、事业单位、人民团体、部队和企业建设足球场地，组建或联合组建足球队，开展丰富多彩的社会足球活动。</w:t>
      </w:r>
    </w:p>
    <w:p w14:paraId="0D07BA86"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107" w:name="_Toc63007026"/>
      <w:bookmarkStart w:id="108" w:name="_Toc63006340"/>
      <w:r>
        <w:rPr>
          <w:rFonts w:ascii="仿宋_GB2312" w:eastAsia="仿宋_GB2312" w:hint="eastAsia"/>
          <w:sz w:val="32"/>
        </w:rPr>
        <w:t>3</w:t>
      </w:r>
      <w:r>
        <w:rPr>
          <w:rFonts w:ascii="仿宋_GB2312" w:eastAsia="仿宋_GB2312"/>
          <w:sz w:val="32"/>
        </w:rPr>
        <w:t>.</w:t>
      </w:r>
      <w:r>
        <w:rPr>
          <w:rFonts w:ascii="仿宋_GB2312" w:eastAsia="仿宋_GB2312" w:hint="eastAsia"/>
          <w:sz w:val="32"/>
        </w:rPr>
        <w:t>培育足球专业人才，拓展足球运动员成长渠道和空间</w:t>
      </w:r>
      <w:bookmarkEnd w:id="107"/>
      <w:bookmarkEnd w:id="108"/>
    </w:p>
    <w:p w14:paraId="7C8B4E3D"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按照分级、分类管理的原则，构建多级、多元的培训组织结构，加强对足球教练员、裁判员、讲师等专业人才的培训。加强国际交流，引入一批高水平外籍讲师对柳州市教练员、裁判员、讲师实施规模化培训。加大培养力度，完善选用机制，多渠道造就优秀足球运动员。增强校园足球、社会足球的人才培养意识，拓宽职业足球选人视</w:t>
      </w:r>
      <w:r>
        <w:rPr>
          <w:rFonts w:ascii="仿宋_GB2312" w:eastAsia="仿宋_GB2312" w:hint="eastAsia"/>
          <w:sz w:val="32"/>
          <w:szCs w:val="32"/>
        </w:rPr>
        <w:lastRenderedPageBreak/>
        <w:t>野，畅通优秀苗子从校园足球、社会足球到职业足球的成长通道。搞好体教结合，加强文化教育、意志锤炼和人格熏陶，促进足球运动员全面发展。</w:t>
      </w:r>
    </w:p>
    <w:p w14:paraId="074576C5"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109" w:name="_Toc63006341"/>
      <w:bookmarkStart w:id="110" w:name="_Toc63007027"/>
      <w:r>
        <w:rPr>
          <w:rFonts w:ascii="仿宋_GB2312" w:eastAsia="仿宋_GB2312" w:hint="eastAsia"/>
          <w:sz w:val="32"/>
        </w:rPr>
        <w:t>4</w:t>
      </w:r>
      <w:r>
        <w:rPr>
          <w:rFonts w:ascii="仿宋_GB2312" w:eastAsia="仿宋_GB2312"/>
          <w:sz w:val="32"/>
        </w:rPr>
        <w:t>.</w:t>
      </w:r>
      <w:r>
        <w:rPr>
          <w:rFonts w:ascii="仿宋_GB2312" w:eastAsia="仿宋_GB2312" w:hint="eastAsia"/>
          <w:sz w:val="32"/>
        </w:rPr>
        <w:t>发挥足球育人功能，推进校园足球普及</w:t>
      </w:r>
      <w:bookmarkEnd w:id="109"/>
      <w:bookmarkEnd w:id="110"/>
    </w:p>
    <w:p w14:paraId="0EEA19BE"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通过培训现有专、兼职足球教师和招录等多种方式，提高教学教练水平，鼓励引进高水平足球教练。完善政策措施，加强专业教育，为退役运动员转岗为体育教师创造条件。深化学校体育改革、培养全面发展人才，把校园足球作为扩大足球人口规模、夯实足球人才根基、提高学生综合素质、促进青少年健康成长的基础性工程，增强家长、社会的认同和支持，让更多青少年学生热爱足球、享受足球。鼓励中小学把足球列入体育课教学内容，加大学时比重。以扶持特色带动普及，对基础较好、积极性较高的中小学重点扶持。完善保险机制，推进政府购买服务，提升校园足球安全保障水平，解除学生、家长和学校的后顾之忧。推动成立中、小学校园足球队，抓紧完善常态化、纵横贯通的高中、初中、小学四级足球竞赛体系，探</w:t>
      </w:r>
      <w:r>
        <w:rPr>
          <w:rFonts w:ascii="仿宋_GB2312" w:eastAsia="仿宋_GB2312" w:hint="eastAsia"/>
          <w:sz w:val="32"/>
          <w:szCs w:val="32"/>
        </w:rPr>
        <w:lastRenderedPageBreak/>
        <w:t>索将校园足球竞赛成绩纳入学校体育工作考核评价体系。</w:t>
      </w:r>
    </w:p>
    <w:p w14:paraId="45EA4E03" w14:textId="77777777" w:rsidR="008A5C83" w:rsidRDefault="00A7141B">
      <w:pPr>
        <w:pStyle w:val="1"/>
        <w:spacing w:before="0" w:after="0"/>
        <w:rPr>
          <w:rFonts w:ascii="黑体" w:eastAsia="黑体" w:hAnsi="黑体" w:hint="eastAsia"/>
        </w:rPr>
      </w:pPr>
      <w:bookmarkStart w:id="111" w:name="_Toc55920318"/>
      <w:bookmarkStart w:id="112" w:name="_Toc63007028"/>
      <w:r>
        <w:rPr>
          <w:rFonts w:hint="eastAsia"/>
        </w:rPr>
        <w:t xml:space="preserve">   </w:t>
      </w:r>
      <w:r>
        <w:rPr>
          <w:rFonts w:ascii="黑体" w:eastAsia="黑体" w:hAnsi="黑体" w:hint="eastAsia"/>
        </w:rPr>
        <w:t xml:space="preserve"> </w:t>
      </w:r>
      <w:r>
        <w:rPr>
          <w:rFonts w:ascii="黑体" w:eastAsia="黑体" w:hAnsi="黑体" w:hint="eastAsia"/>
        </w:rPr>
        <w:t>五、“十四五”期间体育发展重大项目</w:t>
      </w:r>
      <w:bookmarkEnd w:id="111"/>
      <w:bookmarkEnd w:id="112"/>
    </w:p>
    <w:p w14:paraId="48BFA793" w14:textId="77777777" w:rsidR="008A5C83" w:rsidRDefault="00A7141B">
      <w:pPr>
        <w:pStyle w:val="2"/>
        <w:spacing w:before="0" w:after="0"/>
        <w:rPr>
          <w:color w:val="auto"/>
          <w:sz w:val="32"/>
        </w:rPr>
      </w:pPr>
      <w:bookmarkStart w:id="113" w:name="_Toc53481253"/>
      <w:bookmarkStart w:id="114" w:name="_Toc49351461"/>
      <w:bookmarkStart w:id="115" w:name="_Toc49355357"/>
      <w:bookmarkStart w:id="116" w:name="_Toc63007029"/>
      <w:bookmarkStart w:id="117" w:name="_Toc63006343"/>
      <w:bookmarkStart w:id="118" w:name="_Toc55920319"/>
      <w:r>
        <w:rPr>
          <w:rFonts w:hint="eastAsia"/>
          <w:color w:val="auto"/>
          <w:sz w:val="32"/>
        </w:rPr>
        <w:t xml:space="preserve">   </w:t>
      </w:r>
      <w:r>
        <w:rPr>
          <w:rFonts w:hint="eastAsia"/>
          <w:color w:val="auto"/>
          <w:sz w:val="32"/>
        </w:rPr>
        <w:t>（一）加大重大体育基础项目投资建设</w:t>
      </w:r>
      <w:bookmarkEnd w:id="113"/>
      <w:bookmarkEnd w:id="114"/>
      <w:bookmarkEnd w:id="115"/>
      <w:bookmarkEnd w:id="116"/>
      <w:bookmarkEnd w:id="117"/>
      <w:bookmarkEnd w:id="118"/>
    </w:p>
    <w:p w14:paraId="7B8C8E1C"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119" w:name="_Toc63007030"/>
      <w:bookmarkStart w:id="120" w:name="_Toc63006344"/>
      <w:r>
        <w:rPr>
          <w:rFonts w:ascii="仿宋_GB2312" w:eastAsia="仿宋_GB2312" w:hint="eastAsia"/>
          <w:sz w:val="32"/>
        </w:rPr>
        <w:t>1</w:t>
      </w:r>
      <w:r>
        <w:rPr>
          <w:rFonts w:ascii="仿宋_GB2312" w:eastAsia="仿宋_GB2312"/>
          <w:sz w:val="32"/>
        </w:rPr>
        <w:t>.</w:t>
      </w:r>
      <w:r>
        <w:rPr>
          <w:rFonts w:ascii="仿宋_GB2312" w:eastAsia="仿宋_GB2312" w:hint="eastAsia"/>
          <w:sz w:val="32"/>
        </w:rPr>
        <w:t>县级层面全面覆盖体育设施</w:t>
      </w:r>
      <w:bookmarkEnd w:id="119"/>
      <w:bookmarkEnd w:id="120"/>
    </w:p>
    <w:p w14:paraId="5A34D4F6"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按照《健康广西体育惠民工程任务表》关于县级全民健身中心、足球场地、健身步道、全民健身场地的建设要求，完善鹿寨县、柳城县、融安县、融水县、三江县的体育设施建设。</w:t>
      </w:r>
    </w:p>
    <w:p w14:paraId="37DAC6E5"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121" w:name="_Toc63007031"/>
      <w:bookmarkStart w:id="122" w:name="_Toc63006345"/>
      <w:r>
        <w:rPr>
          <w:rFonts w:ascii="仿宋_GB2312" w:eastAsia="仿宋_GB2312" w:hint="eastAsia"/>
          <w:sz w:val="32"/>
        </w:rPr>
        <w:t>2</w:t>
      </w:r>
      <w:r>
        <w:rPr>
          <w:rFonts w:ascii="仿宋_GB2312" w:eastAsia="仿宋_GB2312"/>
          <w:sz w:val="32"/>
        </w:rPr>
        <w:t>.</w:t>
      </w:r>
      <w:r>
        <w:rPr>
          <w:rFonts w:ascii="仿宋_GB2312" w:eastAsia="仿宋_GB2312" w:hint="eastAsia"/>
          <w:sz w:val="32"/>
        </w:rPr>
        <w:t>体育基础设施向农村倾斜</w:t>
      </w:r>
      <w:bookmarkEnd w:id="121"/>
      <w:bookmarkEnd w:id="122"/>
    </w:p>
    <w:p w14:paraId="5F0D1DC0"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按照《健康广西体育惠民工程任务表》，所有乡镇至少配建一块全民健身场地（含灯光篮球场、健身路径、乒乓球桌等），每个行政村至少配建一个篮球场。在我市行政村已实现体育健身设施全覆盖的基础上，逐渐提升设施品质，并将资源下沉至各自然屯。</w:t>
      </w:r>
    </w:p>
    <w:p w14:paraId="153B316F"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123" w:name="_Toc63007032"/>
      <w:bookmarkStart w:id="124" w:name="_Toc63006346"/>
      <w:r>
        <w:rPr>
          <w:rFonts w:ascii="仿宋_GB2312" w:eastAsia="仿宋_GB2312" w:hint="eastAsia"/>
          <w:sz w:val="32"/>
        </w:rPr>
        <w:t>3</w:t>
      </w:r>
      <w:r>
        <w:rPr>
          <w:rFonts w:ascii="仿宋_GB2312" w:eastAsia="仿宋_GB2312"/>
          <w:sz w:val="32"/>
        </w:rPr>
        <w:t>.</w:t>
      </w:r>
      <w:r>
        <w:rPr>
          <w:rFonts w:ascii="仿宋_GB2312" w:eastAsia="仿宋_GB2312" w:hint="eastAsia"/>
          <w:sz w:val="32"/>
        </w:rPr>
        <w:t>完善城区体育公园和“</w:t>
      </w:r>
      <w:r>
        <w:rPr>
          <w:rFonts w:ascii="仿宋_GB2312" w:eastAsia="仿宋_GB2312" w:hint="eastAsia"/>
          <w:sz w:val="32"/>
        </w:rPr>
        <w:t>15</w:t>
      </w:r>
      <w:r>
        <w:rPr>
          <w:rFonts w:ascii="仿宋_GB2312" w:eastAsia="仿宋_GB2312" w:hint="eastAsia"/>
          <w:sz w:val="32"/>
        </w:rPr>
        <w:t>分钟健身圈”的建设</w:t>
      </w:r>
      <w:bookmarkEnd w:id="123"/>
      <w:bookmarkEnd w:id="124"/>
    </w:p>
    <w:p w14:paraId="1AE42B45" w14:textId="77777777" w:rsidR="008A5C83" w:rsidRDefault="00A7141B">
      <w:pPr>
        <w:spacing w:line="240" w:lineRule="auto"/>
        <w:ind w:firstLine="640"/>
        <w:rPr>
          <w:rFonts w:ascii="仿宋_GB2312" w:eastAsia="仿宋_GB2312"/>
          <w:sz w:val="32"/>
          <w:szCs w:val="32"/>
        </w:rPr>
      </w:pPr>
      <w:proofErr w:type="gramStart"/>
      <w:r>
        <w:rPr>
          <w:rFonts w:ascii="仿宋_GB2312" w:eastAsia="仿宋_GB2312" w:hint="eastAsia"/>
          <w:sz w:val="32"/>
          <w:szCs w:val="32"/>
        </w:rPr>
        <w:t>推动鱼峰区</w:t>
      </w:r>
      <w:proofErr w:type="gramEnd"/>
      <w:r>
        <w:rPr>
          <w:rFonts w:ascii="仿宋_GB2312" w:eastAsia="仿宋_GB2312" w:hint="eastAsia"/>
          <w:sz w:val="32"/>
          <w:szCs w:val="32"/>
        </w:rPr>
        <w:t>体育公园的建设。并结合《柳州市十五分钟生活圈》提出的</w:t>
      </w:r>
      <w:r>
        <w:rPr>
          <w:rFonts w:ascii="仿宋_GB2312" w:eastAsia="仿宋_GB2312" w:hint="eastAsia"/>
          <w:sz w:val="32"/>
          <w:szCs w:val="32"/>
        </w:rPr>
        <w:t>10</w:t>
      </w:r>
      <w:r>
        <w:rPr>
          <w:rFonts w:ascii="仿宋_GB2312" w:eastAsia="仿宋_GB2312" w:hint="eastAsia"/>
          <w:sz w:val="32"/>
          <w:szCs w:val="32"/>
        </w:rPr>
        <w:t>个邻里中心，抓好社区体育设施的建</w:t>
      </w:r>
      <w:r>
        <w:rPr>
          <w:rFonts w:ascii="仿宋_GB2312" w:eastAsia="仿宋_GB2312" w:hint="eastAsia"/>
          <w:sz w:val="32"/>
          <w:szCs w:val="32"/>
        </w:rPr>
        <w:lastRenderedPageBreak/>
        <w:t>设，城中区、</w:t>
      </w:r>
      <w:proofErr w:type="gramStart"/>
      <w:r>
        <w:rPr>
          <w:rFonts w:ascii="仿宋_GB2312" w:eastAsia="仿宋_GB2312" w:hint="eastAsia"/>
          <w:sz w:val="32"/>
          <w:szCs w:val="32"/>
        </w:rPr>
        <w:t>鱼峰区</w:t>
      </w:r>
      <w:proofErr w:type="gramEnd"/>
      <w:r>
        <w:rPr>
          <w:rFonts w:ascii="仿宋_GB2312" w:eastAsia="仿宋_GB2312" w:hint="eastAsia"/>
          <w:sz w:val="32"/>
          <w:szCs w:val="32"/>
        </w:rPr>
        <w:t>、柳南区、柳北区、柳江区各</w:t>
      </w:r>
      <w:r>
        <w:rPr>
          <w:rFonts w:ascii="仿宋_GB2312" w:eastAsia="仿宋_GB2312" w:hint="eastAsia"/>
          <w:sz w:val="32"/>
          <w:szCs w:val="32"/>
        </w:rPr>
        <w:t>2</w:t>
      </w:r>
      <w:r>
        <w:rPr>
          <w:rFonts w:ascii="仿宋_GB2312" w:eastAsia="仿宋_GB2312" w:hint="eastAsia"/>
          <w:sz w:val="32"/>
          <w:szCs w:val="32"/>
        </w:rPr>
        <w:t>处，包括前茅邻里中心、莲花山庄邻里中心、天山路邻里中心、葡萄山邻里中心、中铁邻里中心、</w:t>
      </w:r>
      <w:proofErr w:type="gramStart"/>
      <w:r>
        <w:rPr>
          <w:rFonts w:ascii="仿宋_GB2312" w:eastAsia="仿宋_GB2312" w:hint="eastAsia"/>
          <w:sz w:val="32"/>
          <w:szCs w:val="32"/>
        </w:rPr>
        <w:t>龙屯路邻里</w:t>
      </w:r>
      <w:proofErr w:type="gramEnd"/>
      <w:r>
        <w:rPr>
          <w:rFonts w:ascii="仿宋_GB2312" w:eastAsia="仿宋_GB2312" w:hint="eastAsia"/>
          <w:sz w:val="32"/>
          <w:szCs w:val="32"/>
        </w:rPr>
        <w:t>中心、</w:t>
      </w:r>
      <w:proofErr w:type="gramStart"/>
      <w:r>
        <w:rPr>
          <w:rFonts w:ascii="仿宋_GB2312" w:eastAsia="仿宋_GB2312" w:hint="eastAsia"/>
          <w:sz w:val="32"/>
          <w:szCs w:val="32"/>
        </w:rPr>
        <w:t>双冲邻里</w:t>
      </w:r>
      <w:proofErr w:type="gramEnd"/>
      <w:r>
        <w:rPr>
          <w:rFonts w:ascii="仿宋_GB2312" w:eastAsia="仿宋_GB2312" w:hint="eastAsia"/>
          <w:sz w:val="32"/>
          <w:szCs w:val="32"/>
        </w:rPr>
        <w:t>中心、白露邻里中心、柳江新城邻里中心、兴</w:t>
      </w:r>
      <w:proofErr w:type="gramStart"/>
      <w:r>
        <w:rPr>
          <w:rFonts w:ascii="仿宋_GB2312" w:eastAsia="仿宋_GB2312" w:hint="eastAsia"/>
          <w:sz w:val="32"/>
          <w:szCs w:val="32"/>
        </w:rPr>
        <w:t>柳路邻里</w:t>
      </w:r>
      <w:proofErr w:type="gramEnd"/>
      <w:r>
        <w:rPr>
          <w:rFonts w:ascii="仿宋_GB2312" w:eastAsia="仿宋_GB2312" w:hint="eastAsia"/>
          <w:sz w:val="32"/>
          <w:szCs w:val="32"/>
        </w:rPr>
        <w:t>中心等。</w:t>
      </w:r>
    </w:p>
    <w:p w14:paraId="3E5CB588"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125" w:name="_Toc63007033"/>
      <w:bookmarkStart w:id="126" w:name="_Toc63006347"/>
      <w:r>
        <w:rPr>
          <w:rFonts w:ascii="仿宋_GB2312" w:eastAsia="仿宋_GB2312" w:hint="eastAsia"/>
          <w:sz w:val="32"/>
        </w:rPr>
        <w:t>4</w:t>
      </w:r>
      <w:r>
        <w:rPr>
          <w:rFonts w:ascii="仿宋_GB2312" w:eastAsia="仿宋_GB2312"/>
          <w:sz w:val="32"/>
        </w:rPr>
        <w:t>.</w:t>
      </w:r>
      <w:r>
        <w:rPr>
          <w:rFonts w:ascii="仿宋_GB2312" w:eastAsia="仿宋_GB2312" w:hint="eastAsia"/>
          <w:sz w:val="32"/>
        </w:rPr>
        <w:t>围绕竞技体育创办柳州市体育运动学校</w:t>
      </w:r>
      <w:bookmarkEnd w:id="125"/>
      <w:bookmarkEnd w:id="126"/>
    </w:p>
    <w:p w14:paraId="05ACF67B"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与市发展改革委、市教育局、市自然资源和规划局、市住建局等多部门配合，选址筹建新的柳州市体育运动学校。柳州市体育运动学校拟规划用地</w:t>
      </w:r>
      <w:r>
        <w:rPr>
          <w:rFonts w:ascii="仿宋_GB2312" w:eastAsia="仿宋_GB2312"/>
          <w:sz w:val="32"/>
          <w:szCs w:val="32"/>
        </w:rPr>
        <w:t>130</w:t>
      </w:r>
      <w:r>
        <w:rPr>
          <w:rFonts w:ascii="仿宋_GB2312" w:eastAsia="仿宋_GB2312" w:hint="eastAsia"/>
          <w:sz w:val="32"/>
          <w:szCs w:val="32"/>
        </w:rPr>
        <w:t>亩以上，拟建设行政办公楼、教室、学生宿舍、综合训练馆、体能训练馆、体育馆、游泳馆、田径场、射击射箭训练场等，可同时容纳</w:t>
      </w:r>
      <w:r>
        <w:rPr>
          <w:rFonts w:ascii="仿宋_GB2312" w:eastAsia="仿宋_GB2312"/>
          <w:sz w:val="32"/>
          <w:szCs w:val="32"/>
        </w:rPr>
        <w:t>10</w:t>
      </w:r>
      <w:r>
        <w:rPr>
          <w:rFonts w:ascii="仿宋_GB2312" w:eastAsia="仿宋_GB2312" w:hint="eastAsia"/>
          <w:sz w:val="32"/>
          <w:szCs w:val="32"/>
        </w:rPr>
        <w:t>00</w:t>
      </w:r>
      <w:r>
        <w:rPr>
          <w:rFonts w:ascii="仿宋_GB2312" w:eastAsia="仿宋_GB2312" w:hint="eastAsia"/>
          <w:sz w:val="32"/>
          <w:szCs w:val="32"/>
        </w:rPr>
        <w:t>名以上学生训练、学习和生活的三集中式的专业体育运动学校。</w:t>
      </w:r>
    </w:p>
    <w:p w14:paraId="57787884"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127" w:name="_Toc63007034"/>
      <w:bookmarkStart w:id="128" w:name="_Toc63006348"/>
      <w:r>
        <w:rPr>
          <w:rFonts w:ascii="仿宋_GB2312" w:eastAsia="仿宋_GB2312" w:hint="eastAsia"/>
          <w:sz w:val="32"/>
        </w:rPr>
        <w:t>5</w:t>
      </w:r>
      <w:r>
        <w:rPr>
          <w:rFonts w:ascii="仿宋_GB2312" w:eastAsia="仿宋_GB2312"/>
          <w:sz w:val="32"/>
        </w:rPr>
        <w:t>.</w:t>
      </w:r>
      <w:r>
        <w:rPr>
          <w:rFonts w:ascii="仿宋_GB2312" w:eastAsia="仿宋_GB2312" w:hint="eastAsia"/>
          <w:sz w:val="32"/>
        </w:rPr>
        <w:t>围绕广西体育旅游示范市</w:t>
      </w:r>
      <w:bookmarkEnd w:id="127"/>
      <w:bookmarkEnd w:id="128"/>
      <w:r>
        <w:rPr>
          <w:rFonts w:ascii="仿宋_GB2312" w:eastAsia="仿宋_GB2312" w:hint="eastAsia"/>
          <w:sz w:val="32"/>
        </w:rPr>
        <w:t>、全民健身和全民健康深度融合示范项目的创建工作，加强设施建设</w:t>
      </w:r>
    </w:p>
    <w:p w14:paraId="43B443C2" w14:textId="1AFBF813"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贯彻落实中央以及广西壮族</w:t>
      </w:r>
      <w:r>
        <w:rPr>
          <w:rFonts w:ascii="仿宋_GB2312" w:eastAsia="仿宋_GB2312" w:hint="eastAsia"/>
          <w:sz w:val="32"/>
          <w:szCs w:val="32"/>
        </w:rPr>
        <w:t>自治区关于体育发展的重要政策文件，联合其他部门，按照广西体育旅游示范市、</w:t>
      </w:r>
      <w:r>
        <w:rPr>
          <w:rFonts w:ascii="仿宋_GB2312" w:eastAsia="仿宋_GB2312" w:hint="eastAsia"/>
          <w:sz w:val="32"/>
          <w:szCs w:val="32"/>
        </w:rPr>
        <w:lastRenderedPageBreak/>
        <w:t>自治区全民健身和全民健康深度融合示范项目单位的创建要求，提高设施建设水平。</w:t>
      </w:r>
    </w:p>
    <w:p w14:paraId="75984137" w14:textId="77777777" w:rsidR="008A5C83" w:rsidRDefault="00A7141B">
      <w:pPr>
        <w:pStyle w:val="2"/>
        <w:spacing w:before="0" w:after="0"/>
        <w:rPr>
          <w:color w:val="auto"/>
          <w:sz w:val="32"/>
        </w:rPr>
      </w:pPr>
      <w:bookmarkStart w:id="129" w:name="_Toc63007035"/>
      <w:bookmarkStart w:id="130" w:name="_Toc55920320"/>
      <w:bookmarkStart w:id="131" w:name="_Toc63006349"/>
      <w:bookmarkStart w:id="132" w:name="_Toc49351462"/>
      <w:bookmarkStart w:id="133" w:name="_Toc49355358"/>
      <w:bookmarkStart w:id="134" w:name="_Toc53481254"/>
      <w:r>
        <w:rPr>
          <w:rFonts w:hint="eastAsia"/>
          <w:color w:val="auto"/>
          <w:sz w:val="32"/>
        </w:rPr>
        <w:t xml:space="preserve">   </w:t>
      </w:r>
      <w:r>
        <w:rPr>
          <w:rFonts w:hint="eastAsia"/>
          <w:color w:val="auto"/>
          <w:sz w:val="32"/>
        </w:rPr>
        <w:t>（二）扶持打造产业融合项目</w:t>
      </w:r>
      <w:bookmarkEnd w:id="129"/>
      <w:bookmarkEnd w:id="130"/>
      <w:bookmarkEnd w:id="131"/>
      <w:bookmarkEnd w:id="132"/>
      <w:bookmarkEnd w:id="133"/>
      <w:bookmarkEnd w:id="134"/>
    </w:p>
    <w:p w14:paraId="6D0ACFB7"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135" w:name="_Toc63007036"/>
      <w:bookmarkStart w:id="136" w:name="_Toc63006350"/>
      <w:r>
        <w:rPr>
          <w:rFonts w:ascii="仿宋_GB2312" w:eastAsia="仿宋_GB2312" w:hint="eastAsia"/>
          <w:sz w:val="32"/>
        </w:rPr>
        <w:t>6</w:t>
      </w:r>
      <w:r>
        <w:rPr>
          <w:rFonts w:ascii="仿宋_GB2312" w:eastAsia="仿宋_GB2312"/>
          <w:sz w:val="32"/>
        </w:rPr>
        <w:t>.</w:t>
      </w:r>
      <w:r>
        <w:rPr>
          <w:rFonts w:ascii="仿宋_GB2312" w:eastAsia="仿宋_GB2312" w:hint="eastAsia"/>
          <w:sz w:val="32"/>
        </w:rPr>
        <w:t>环江运动休闲产业区</w:t>
      </w:r>
      <w:bookmarkEnd w:id="135"/>
      <w:bookmarkEnd w:id="136"/>
    </w:p>
    <w:p w14:paraId="52CF9FAF"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环江滨水大道的建成，一直受到市民的热捧，如今随着旅游小镇、湿地公园、公交专线的开通，各类国际赛事的融入，规划于环江片区融入体育文化、体育旅游产业，打造环江运动休闲产业区。</w:t>
      </w:r>
    </w:p>
    <w:p w14:paraId="022DCE53"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137" w:name="_Toc63007037"/>
      <w:bookmarkStart w:id="138" w:name="_Toc63006351"/>
      <w:r>
        <w:rPr>
          <w:rFonts w:ascii="仿宋_GB2312" w:eastAsia="仿宋_GB2312" w:hint="eastAsia"/>
          <w:sz w:val="32"/>
        </w:rPr>
        <w:t>7</w:t>
      </w:r>
      <w:r>
        <w:rPr>
          <w:rFonts w:ascii="仿宋_GB2312" w:eastAsia="仿宋_GB2312"/>
          <w:sz w:val="32"/>
        </w:rPr>
        <w:t>.</w:t>
      </w:r>
      <w:proofErr w:type="gramStart"/>
      <w:r>
        <w:rPr>
          <w:rFonts w:ascii="仿宋_GB2312" w:eastAsia="仿宋_GB2312" w:hint="eastAsia"/>
          <w:sz w:val="32"/>
        </w:rPr>
        <w:t>静兰湾</w:t>
      </w:r>
      <w:proofErr w:type="gramEnd"/>
      <w:r>
        <w:rPr>
          <w:rFonts w:ascii="仿宋_GB2312" w:eastAsia="仿宋_GB2312" w:hint="eastAsia"/>
          <w:sz w:val="32"/>
        </w:rPr>
        <w:t>文化体育小镇</w:t>
      </w:r>
      <w:bookmarkEnd w:id="137"/>
      <w:bookmarkEnd w:id="138"/>
    </w:p>
    <w:p w14:paraId="32510026"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以国际水上赛艇中心、</w:t>
      </w:r>
      <w:proofErr w:type="gramStart"/>
      <w:r>
        <w:rPr>
          <w:rFonts w:ascii="仿宋_GB2312" w:eastAsia="仿宋_GB2312" w:hint="eastAsia"/>
          <w:sz w:val="32"/>
          <w:szCs w:val="32"/>
        </w:rPr>
        <w:t>江山湖生态</w:t>
      </w:r>
      <w:proofErr w:type="gramEnd"/>
      <w:r>
        <w:rPr>
          <w:rFonts w:ascii="仿宋_GB2312" w:eastAsia="仿宋_GB2312" w:hint="eastAsia"/>
          <w:sz w:val="32"/>
          <w:szCs w:val="32"/>
        </w:rPr>
        <w:t>资源为基础，基于文化旅游、体育运动的发展，项目利用市政配套项目，创造交流平台、艺展空间，通过历史文化景点探寻、专题论坛、主题文体活动、艺术展览等表现形式，打造柳江边最精致的文化体育小镇项目，包含文化旅游景点、体育运动主题乐园、主题艺展、零售商业、旅馆、商业服务、商业金融、体育博物馆等功能。</w:t>
      </w:r>
    </w:p>
    <w:p w14:paraId="687F7BE9"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139" w:name="_Toc63007038"/>
      <w:bookmarkStart w:id="140" w:name="_Toc63006352"/>
      <w:r>
        <w:rPr>
          <w:rFonts w:ascii="仿宋_GB2312" w:eastAsia="仿宋_GB2312" w:hint="eastAsia"/>
          <w:sz w:val="32"/>
        </w:rPr>
        <w:t>8</w:t>
      </w:r>
      <w:r>
        <w:rPr>
          <w:rFonts w:ascii="仿宋_GB2312" w:eastAsia="仿宋_GB2312"/>
          <w:sz w:val="32"/>
        </w:rPr>
        <w:t>.</w:t>
      </w:r>
      <w:r>
        <w:rPr>
          <w:rFonts w:ascii="仿宋_GB2312" w:eastAsia="仿宋_GB2312" w:hint="eastAsia"/>
          <w:sz w:val="32"/>
        </w:rPr>
        <w:t>阳和体育项目产业孵化园区</w:t>
      </w:r>
      <w:bookmarkEnd w:id="139"/>
      <w:bookmarkEnd w:id="140"/>
    </w:p>
    <w:p w14:paraId="7DC17CC5"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lastRenderedPageBreak/>
        <w:t>规划新建体育产业孵化基地大厦，将从事体育器材制造、赛事经营、场馆运营、体育信息化服务等体育类企业集中于一地，选址可采取园中园模式，同时以市政府的名义牵头成立体育产业服务领导小组，集合发改、财政、科技、工信、工商、税务、文化、旅游、体育等部门，为园区企业提供政策服务指导。</w:t>
      </w:r>
    </w:p>
    <w:p w14:paraId="02DC9DB0" w14:textId="77777777" w:rsidR="008A5C83" w:rsidRDefault="00A7141B">
      <w:pPr>
        <w:pStyle w:val="3"/>
        <w:numPr>
          <w:ilvl w:val="0"/>
          <w:numId w:val="0"/>
        </w:numPr>
        <w:spacing w:before="0" w:after="0" w:line="240" w:lineRule="auto"/>
        <w:ind w:firstLineChars="200" w:firstLine="643"/>
        <w:rPr>
          <w:rFonts w:ascii="仿宋_GB2312" w:eastAsia="仿宋_GB2312" w:cs="宋体"/>
          <w:kern w:val="0"/>
          <w:sz w:val="32"/>
        </w:rPr>
      </w:pPr>
      <w:bookmarkStart w:id="141" w:name="_Toc63007039"/>
      <w:bookmarkStart w:id="142" w:name="_Toc63006353"/>
      <w:r>
        <w:rPr>
          <w:rFonts w:ascii="仿宋_GB2312" w:eastAsia="仿宋_GB2312" w:hint="eastAsia"/>
          <w:sz w:val="32"/>
        </w:rPr>
        <w:t>9</w:t>
      </w:r>
      <w:r>
        <w:rPr>
          <w:rFonts w:ascii="仿宋_GB2312" w:eastAsia="仿宋_GB2312"/>
          <w:sz w:val="32"/>
        </w:rPr>
        <w:t>.</w:t>
      </w:r>
      <w:r>
        <w:rPr>
          <w:rFonts w:ascii="仿宋_GB2312" w:eastAsia="仿宋_GB2312" w:hint="eastAsia"/>
          <w:sz w:val="32"/>
        </w:rPr>
        <w:t>柳江民族特色产业区</w:t>
      </w:r>
      <w:bookmarkEnd w:id="141"/>
      <w:bookmarkEnd w:id="142"/>
    </w:p>
    <w:p w14:paraId="649A0FD3"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国务院在《关于加快发展体育产业促进体育消费的若干意见》中首次提出“发展少数民族特色体育产业”的任务，将少数民族体育产业列为国家体育产业的新型业态，充分肯定了少数民族体育的经济、社会与文化效益，为我国西部民族地区特色体育产业的发展指明了方向，也为我市体育产业的发展带来重要的历史机遇。规划依托柳江新区的规划发展前景和区位特质，布局柳江民族特色产业区，未来主要开发体育产业产品类型分为观赏类、健身类、竞技类、探险类、参与类以及相关民族体育纪念品类，将产品和市区各少数民族体育传统文化相融合，推向</w:t>
      </w:r>
      <w:r>
        <w:rPr>
          <w:rFonts w:ascii="仿宋_GB2312" w:eastAsia="仿宋_GB2312" w:hint="eastAsia"/>
          <w:sz w:val="32"/>
          <w:szCs w:val="32"/>
        </w:rPr>
        <w:lastRenderedPageBreak/>
        <w:t>市场，进行深层次开发，持续提升特色产业的知名度和影响力。</w:t>
      </w:r>
    </w:p>
    <w:p w14:paraId="055DF5EA"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143" w:name="_Toc63006354"/>
      <w:bookmarkStart w:id="144" w:name="_Toc63007040"/>
      <w:r>
        <w:rPr>
          <w:rFonts w:ascii="仿宋_GB2312" w:eastAsia="仿宋_GB2312" w:hint="eastAsia"/>
          <w:sz w:val="32"/>
        </w:rPr>
        <w:t>1</w:t>
      </w:r>
      <w:r>
        <w:rPr>
          <w:rFonts w:ascii="仿宋_GB2312" w:eastAsia="仿宋_GB2312"/>
          <w:sz w:val="32"/>
        </w:rPr>
        <w:t>0.</w:t>
      </w:r>
      <w:r>
        <w:rPr>
          <w:rFonts w:ascii="仿宋_GB2312" w:eastAsia="仿宋_GB2312" w:hint="eastAsia"/>
          <w:sz w:val="32"/>
        </w:rPr>
        <w:t>汽车运动产业区</w:t>
      </w:r>
      <w:bookmarkEnd w:id="143"/>
      <w:bookmarkEnd w:id="144"/>
    </w:p>
    <w:p w14:paraId="00AFB77A"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项目依托柳东汽车城以及专业汽车越野运动基地的影响和知名度，</w:t>
      </w:r>
      <w:r>
        <w:rPr>
          <w:rFonts w:ascii="仿宋_GB2312" w:eastAsia="仿宋_GB2312" w:hint="eastAsia"/>
          <w:sz w:val="32"/>
          <w:szCs w:val="32"/>
        </w:rPr>
        <w:t>2019</w:t>
      </w:r>
      <w:r>
        <w:rPr>
          <w:rFonts w:ascii="仿宋_GB2312" w:eastAsia="仿宋_GB2312" w:hint="eastAsia"/>
          <w:sz w:val="32"/>
          <w:szCs w:val="32"/>
        </w:rPr>
        <w:t>年，柳州市</w:t>
      </w:r>
      <w:proofErr w:type="gramStart"/>
      <w:r>
        <w:rPr>
          <w:rFonts w:ascii="仿宋_GB2312" w:eastAsia="仿宋_GB2312" w:hint="eastAsia"/>
          <w:sz w:val="32"/>
          <w:szCs w:val="32"/>
        </w:rPr>
        <w:t>雒容汽车</w:t>
      </w:r>
      <w:proofErr w:type="gramEnd"/>
      <w:r>
        <w:rPr>
          <w:rFonts w:ascii="仿宋_GB2312" w:eastAsia="仿宋_GB2312" w:hint="eastAsia"/>
          <w:sz w:val="32"/>
          <w:szCs w:val="32"/>
        </w:rPr>
        <w:t>小镇申报自治区第二批特色小镇，也为柳州发展汽车运动产业区提供了平台。以汽车产业为契机，抓住汽车运动和工业的紧密联系，以赛车运动为龙头的汽车服务业，将为柳州汽车产业增添新动能，围绕自动驾驶、智能网联汽车、新能源汽车、汽车后市场、移动出行等领域，打造“汽车</w:t>
      </w:r>
      <w:r>
        <w:rPr>
          <w:rFonts w:ascii="仿宋_GB2312" w:eastAsia="仿宋_GB2312" w:hint="eastAsia"/>
          <w:sz w:val="32"/>
          <w:szCs w:val="32"/>
        </w:rPr>
        <w:t>+</w:t>
      </w:r>
      <w:r>
        <w:rPr>
          <w:rFonts w:ascii="仿宋_GB2312" w:eastAsia="仿宋_GB2312" w:hint="eastAsia"/>
          <w:sz w:val="32"/>
          <w:szCs w:val="32"/>
        </w:rPr>
        <w:t>”</w:t>
      </w:r>
      <w:proofErr w:type="gramStart"/>
      <w:r>
        <w:rPr>
          <w:rFonts w:ascii="仿宋_GB2312" w:eastAsia="仿宋_GB2312" w:hint="eastAsia"/>
          <w:sz w:val="32"/>
          <w:szCs w:val="32"/>
        </w:rPr>
        <w:t>产城融合</w:t>
      </w:r>
      <w:proofErr w:type="gramEnd"/>
      <w:r>
        <w:rPr>
          <w:rFonts w:ascii="仿宋_GB2312" w:eastAsia="仿宋_GB2312" w:hint="eastAsia"/>
          <w:sz w:val="32"/>
          <w:szCs w:val="32"/>
        </w:rPr>
        <w:t>示范区，实现文体产业与地区主导产业互动、融合发展。</w:t>
      </w:r>
    </w:p>
    <w:p w14:paraId="701E6FE6" w14:textId="77777777" w:rsidR="008A5C83" w:rsidRDefault="00A7141B">
      <w:pPr>
        <w:spacing w:line="240" w:lineRule="auto"/>
        <w:ind w:firstLine="643"/>
        <w:rPr>
          <w:rFonts w:ascii="仿宋_GB2312" w:eastAsia="仿宋_GB2312"/>
          <w:b/>
          <w:sz w:val="32"/>
          <w:szCs w:val="32"/>
        </w:rPr>
      </w:pPr>
      <w:r>
        <w:rPr>
          <w:rFonts w:ascii="仿宋_GB2312" w:eastAsia="仿宋_GB2312" w:hint="eastAsia"/>
          <w:b/>
          <w:sz w:val="32"/>
          <w:szCs w:val="32"/>
        </w:rPr>
        <w:t>11.</w:t>
      </w:r>
      <w:r>
        <w:rPr>
          <w:rFonts w:ascii="仿宋_GB2312" w:eastAsia="仿宋_GB2312" w:hint="eastAsia"/>
          <w:b/>
          <w:sz w:val="32"/>
          <w:szCs w:val="32"/>
        </w:rPr>
        <w:t>中国</w:t>
      </w:r>
      <w:r>
        <w:rPr>
          <w:rFonts w:ascii="仿宋_GB2312" w:eastAsia="仿宋_GB2312" w:hint="eastAsia"/>
          <w:b/>
          <w:sz w:val="32"/>
          <w:szCs w:val="32"/>
        </w:rPr>
        <w:t>-</w:t>
      </w:r>
      <w:r>
        <w:rPr>
          <w:rFonts w:ascii="仿宋_GB2312" w:eastAsia="仿宋_GB2312" w:hint="eastAsia"/>
          <w:b/>
          <w:sz w:val="32"/>
          <w:szCs w:val="32"/>
        </w:rPr>
        <w:t>东盟（柳州）大健康和</w:t>
      </w:r>
      <w:proofErr w:type="gramStart"/>
      <w:r>
        <w:rPr>
          <w:rFonts w:ascii="仿宋_GB2312" w:eastAsia="仿宋_GB2312" w:hint="eastAsia"/>
          <w:b/>
          <w:sz w:val="32"/>
          <w:szCs w:val="32"/>
        </w:rPr>
        <w:t>文旅</w:t>
      </w:r>
      <w:proofErr w:type="gramEnd"/>
      <w:r>
        <w:rPr>
          <w:rFonts w:ascii="仿宋_GB2312" w:eastAsia="仿宋_GB2312" w:hint="eastAsia"/>
          <w:b/>
          <w:sz w:val="32"/>
          <w:szCs w:val="32"/>
        </w:rPr>
        <w:t>产业旅游商品与装备制造产业园</w:t>
      </w:r>
    </w:p>
    <w:p w14:paraId="5AB7CDAE"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项目位于柳北区白露工业园，依托自治区大健康和</w:t>
      </w:r>
      <w:proofErr w:type="gramStart"/>
      <w:r>
        <w:rPr>
          <w:rFonts w:ascii="仿宋_GB2312" w:eastAsia="仿宋_GB2312" w:hint="eastAsia"/>
          <w:sz w:val="32"/>
          <w:szCs w:val="32"/>
        </w:rPr>
        <w:t>文旅</w:t>
      </w:r>
      <w:proofErr w:type="gramEnd"/>
      <w:r>
        <w:rPr>
          <w:rFonts w:ascii="仿宋_GB2312" w:eastAsia="仿宋_GB2312" w:hint="eastAsia"/>
          <w:sz w:val="32"/>
          <w:szCs w:val="32"/>
        </w:rPr>
        <w:t>产业工程指挥部将项目落地于柳州为契机，以打造“体育旅游示范市”、“中国水上运动娱乐之都”为抓手，积极</w:t>
      </w:r>
      <w:r>
        <w:rPr>
          <w:rFonts w:ascii="仿宋_GB2312" w:eastAsia="仿宋_GB2312" w:hint="eastAsia"/>
          <w:sz w:val="32"/>
          <w:szCs w:val="32"/>
        </w:rPr>
        <w:lastRenderedPageBreak/>
        <w:t>引进国内外知名运动装备制造商入驻园区，形成集体育旅游用品、山地户外装备、水上运动器材、健康运动商品为一体的产业园区。以柳州市工业产品体系为基础，完善以体育旅游商品与装备制造为引领的产业体系，推动“体育</w:t>
      </w:r>
      <w:r>
        <w:rPr>
          <w:rFonts w:ascii="仿宋_GB2312" w:eastAsia="仿宋_GB2312" w:hint="eastAsia"/>
          <w:sz w:val="32"/>
          <w:szCs w:val="32"/>
        </w:rPr>
        <w:t>+</w:t>
      </w:r>
      <w:r>
        <w:rPr>
          <w:rFonts w:ascii="仿宋_GB2312" w:eastAsia="仿宋_GB2312" w:hint="eastAsia"/>
          <w:sz w:val="32"/>
          <w:szCs w:val="32"/>
        </w:rPr>
        <w:t>”融合发展，提升旅游商品与装备的科技含量和智能化水平，不断满足人民群众多样化、个性化、高品位的体育旅游需求。</w:t>
      </w:r>
    </w:p>
    <w:p w14:paraId="585A6CA4" w14:textId="77777777" w:rsidR="008A5C83" w:rsidRDefault="00A7141B">
      <w:pPr>
        <w:pStyle w:val="2"/>
        <w:spacing w:before="0" w:after="0"/>
        <w:rPr>
          <w:color w:val="auto"/>
          <w:sz w:val="32"/>
        </w:rPr>
      </w:pPr>
      <w:bookmarkStart w:id="145" w:name="_Toc63007041"/>
      <w:bookmarkStart w:id="146" w:name="_Toc49355359"/>
      <w:bookmarkStart w:id="147" w:name="_Toc63006355"/>
      <w:bookmarkStart w:id="148" w:name="_Toc53481255"/>
      <w:bookmarkStart w:id="149" w:name="_Toc55920321"/>
      <w:bookmarkStart w:id="150" w:name="_Toc49351463"/>
      <w:r>
        <w:rPr>
          <w:rFonts w:hint="eastAsia"/>
          <w:color w:val="auto"/>
          <w:sz w:val="32"/>
        </w:rPr>
        <w:t xml:space="preserve">   </w:t>
      </w:r>
      <w:r>
        <w:rPr>
          <w:rFonts w:hint="eastAsia"/>
          <w:color w:val="auto"/>
          <w:sz w:val="32"/>
        </w:rPr>
        <w:t>（三）筹划举办重大体育赛事和活动</w:t>
      </w:r>
      <w:bookmarkEnd w:id="145"/>
      <w:bookmarkEnd w:id="146"/>
      <w:bookmarkEnd w:id="147"/>
      <w:bookmarkEnd w:id="148"/>
      <w:bookmarkEnd w:id="149"/>
      <w:bookmarkEnd w:id="150"/>
    </w:p>
    <w:p w14:paraId="2006C704"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151" w:name="_Toc63006356"/>
      <w:bookmarkStart w:id="152" w:name="_Toc63007042"/>
      <w:r>
        <w:rPr>
          <w:rFonts w:ascii="仿宋_GB2312" w:eastAsia="仿宋_GB2312" w:hint="eastAsia"/>
          <w:sz w:val="32"/>
        </w:rPr>
        <w:t>1</w:t>
      </w:r>
      <w:r>
        <w:rPr>
          <w:rFonts w:ascii="仿宋_GB2312" w:eastAsia="仿宋_GB2312"/>
          <w:sz w:val="32"/>
        </w:rPr>
        <w:t>1.</w:t>
      </w:r>
      <w:r>
        <w:rPr>
          <w:rFonts w:ascii="仿宋_GB2312" w:eastAsia="仿宋_GB2312" w:hint="eastAsia"/>
          <w:sz w:val="32"/>
        </w:rPr>
        <w:t>汽车拉力赛、场地赛</w:t>
      </w:r>
      <w:bookmarkEnd w:id="151"/>
      <w:bookmarkEnd w:id="152"/>
    </w:p>
    <w:p w14:paraId="3F0DAC76"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依托</w:t>
      </w:r>
      <w:proofErr w:type="gramStart"/>
      <w:r>
        <w:rPr>
          <w:rFonts w:ascii="仿宋_GB2312" w:eastAsia="仿宋_GB2312" w:hint="eastAsia"/>
          <w:sz w:val="32"/>
          <w:szCs w:val="32"/>
        </w:rPr>
        <w:t>雒容汽车</w:t>
      </w:r>
      <w:proofErr w:type="gramEnd"/>
      <w:r>
        <w:rPr>
          <w:rFonts w:ascii="仿宋_GB2312" w:eastAsia="仿宋_GB2312" w:hint="eastAsia"/>
          <w:sz w:val="32"/>
          <w:szCs w:val="32"/>
        </w:rPr>
        <w:t>小镇定</w:t>
      </w:r>
      <w:proofErr w:type="gramStart"/>
      <w:r>
        <w:rPr>
          <w:rFonts w:ascii="仿宋_GB2312" w:eastAsia="仿宋_GB2312" w:hint="eastAsia"/>
          <w:sz w:val="32"/>
          <w:szCs w:val="32"/>
        </w:rPr>
        <w:t>期举办</w:t>
      </w:r>
      <w:proofErr w:type="gramEnd"/>
      <w:r>
        <w:rPr>
          <w:rFonts w:ascii="仿宋_GB2312" w:eastAsia="仿宋_GB2312" w:hint="eastAsia"/>
          <w:sz w:val="32"/>
          <w:szCs w:val="32"/>
        </w:rPr>
        <w:t>具有一定影响力和知名度的汽车拉力赛、场地赛等比赛，大力推动汽车运动产业发展。</w:t>
      </w:r>
    </w:p>
    <w:p w14:paraId="0A9DF3B3"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153" w:name="_Toc63007043"/>
      <w:bookmarkStart w:id="154" w:name="_Toc63006357"/>
      <w:r>
        <w:rPr>
          <w:rFonts w:ascii="仿宋_GB2312" w:eastAsia="仿宋_GB2312" w:hint="eastAsia"/>
          <w:sz w:val="32"/>
        </w:rPr>
        <w:t>1</w:t>
      </w:r>
      <w:r>
        <w:rPr>
          <w:rFonts w:ascii="仿宋_GB2312" w:eastAsia="仿宋_GB2312"/>
          <w:sz w:val="32"/>
        </w:rPr>
        <w:t>2.</w:t>
      </w:r>
      <w:r>
        <w:rPr>
          <w:rFonts w:ascii="仿宋_GB2312" w:eastAsia="仿宋_GB2312" w:hint="eastAsia"/>
          <w:sz w:val="32"/>
        </w:rPr>
        <w:t>国内、国际级网球比赛</w:t>
      </w:r>
      <w:bookmarkEnd w:id="153"/>
      <w:bookmarkEnd w:id="154"/>
    </w:p>
    <w:p w14:paraId="689AE2C8"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利用柳东新区网球中心，承办中国网球公开赛、</w:t>
      </w:r>
      <w:r>
        <w:rPr>
          <w:rFonts w:ascii="仿宋_GB2312" w:eastAsia="仿宋_GB2312" w:hint="eastAsia"/>
          <w:sz w:val="32"/>
          <w:szCs w:val="32"/>
        </w:rPr>
        <w:t>ATP</w:t>
      </w:r>
      <w:r>
        <w:rPr>
          <w:rFonts w:ascii="仿宋_GB2312" w:eastAsia="仿宋_GB2312" w:hint="eastAsia"/>
          <w:sz w:val="32"/>
          <w:szCs w:val="32"/>
        </w:rPr>
        <w:t>（网球专业人员协会）、</w:t>
      </w:r>
      <w:r>
        <w:rPr>
          <w:rFonts w:ascii="仿宋_GB2312" w:eastAsia="仿宋_GB2312" w:hint="eastAsia"/>
          <w:sz w:val="32"/>
          <w:szCs w:val="32"/>
        </w:rPr>
        <w:t>WTA</w:t>
      </w:r>
      <w:r>
        <w:rPr>
          <w:rFonts w:ascii="仿宋_GB2312" w:eastAsia="仿宋_GB2312" w:hint="eastAsia"/>
          <w:sz w:val="32"/>
          <w:szCs w:val="32"/>
        </w:rPr>
        <w:t>（女子网球协会）等国内、国际级网球赛事。</w:t>
      </w:r>
    </w:p>
    <w:p w14:paraId="18FAFACF"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155" w:name="_Toc63006358"/>
      <w:bookmarkStart w:id="156" w:name="_Toc63007044"/>
      <w:r>
        <w:rPr>
          <w:rFonts w:ascii="仿宋_GB2312" w:eastAsia="仿宋_GB2312" w:hint="eastAsia"/>
          <w:sz w:val="32"/>
        </w:rPr>
        <w:t>1</w:t>
      </w:r>
      <w:r>
        <w:rPr>
          <w:rFonts w:ascii="仿宋_GB2312" w:eastAsia="仿宋_GB2312"/>
          <w:sz w:val="32"/>
        </w:rPr>
        <w:t>3.</w:t>
      </w:r>
      <w:r>
        <w:rPr>
          <w:rFonts w:ascii="仿宋_GB2312" w:eastAsia="仿宋_GB2312" w:hint="eastAsia"/>
          <w:sz w:val="32"/>
        </w:rPr>
        <w:t>百里柳江马拉松赛或自行车大赛</w:t>
      </w:r>
      <w:bookmarkEnd w:id="155"/>
      <w:bookmarkEnd w:id="156"/>
    </w:p>
    <w:p w14:paraId="6F749D1B"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lastRenderedPageBreak/>
        <w:t>依托百里柳江秀美风光和柳州城市建设发展良好环境，组织举办环百里柳江马拉松赛或自行车大赛，聚集人气，营造宜居健身氛围。</w:t>
      </w:r>
    </w:p>
    <w:p w14:paraId="67BC00B4"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157" w:name="_Toc63007045"/>
      <w:bookmarkStart w:id="158" w:name="_Toc63006359"/>
      <w:r>
        <w:rPr>
          <w:rFonts w:ascii="仿宋_GB2312" w:eastAsia="仿宋_GB2312" w:hint="eastAsia"/>
          <w:sz w:val="32"/>
        </w:rPr>
        <w:t>1</w:t>
      </w:r>
      <w:r>
        <w:rPr>
          <w:rFonts w:ascii="仿宋_GB2312" w:eastAsia="仿宋_GB2312"/>
          <w:sz w:val="32"/>
        </w:rPr>
        <w:t>4.</w:t>
      </w:r>
      <w:r>
        <w:rPr>
          <w:rFonts w:ascii="仿宋_GB2312" w:eastAsia="仿宋_GB2312" w:hint="eastAsia"/>
          <w:sz w:val="32"/>
        </w:rPr>
        <w:t>融安龙舟赛</w:t>
      </w:r>
      <w:bookmarkEnd w:id="157"/>
      <w:bookmarkEnd w:id="158"/>
    </w:p>
    <w:p w14:paraId="3273E8CF" w14:textId="77777777" w:rsidR="008A5C83" w:rsidRDefault="00A7141B">
      <w:pPr>
        <w:spacing w:line="240" w:lineRule="auto"/>
        <w:ind w:firstLine="640"/>
        <w:rPr>
          <w:rFonts w:ascii="仿宋_GB2312" w:eastAsia="仿宋_GB2312"/>
          <w:sz w:val="32"/>
          <w:szCs w:val="32"/>
        </w:rPr>
      </w:pPr>
      <w:r>
        <w:rPr>
          <w:rFonts w:ascii="仿宋_GB2312" w:eastAsia="仿宋_GB2312" w:hint="eastAsia"/>
          <w:sz w:val="32"/>
          <w:szCs w:val="32"/>
        </w:rPr>
        <w:t>广西融安龙舟大赛已经成功举办二十一届，应出台举措，大力培植龙舟品牌赛事，努力推动民族传统体育文化的整理研究和保护传承，对龙舟项目进行倾斜性的资金安排，探索多种组织形式推广龙舟运动。</w:t>
      </w:r>
    </w:p>
    <w:p w14:paraId="23B72ADD" w14:textId="77777777" w:rsidR="008A5C83" w:rsidRDefault="00A7141B">
      <w:pPr>
        <w:pStyle w:val="3"/>
        <w:numPr>
          <w:ilvl w:val="0"/>
          <w:numId w:val="0"/>
        </w:numPr>
        <w:spacing w:before="0" w:after="0" w:line="240" w:lineRule="auto"/>
        <w:ind w:firstLineChars="200" w:firstLine="643"/>
        <w:rPr>
          <w:rFonts w:ascii="仿宋_GB2312" w:eastAsia="仿宋_GB2312"/>
          <w:sz w:val="32"/>
        </w:rPr>
      </w:pPr>
      <w:bookmarkStart w:id="159" w:name="_Toc63007046"/>
      <w:bookmarkStart w:id="160" w:name="_Toc63006360"/>
      <w:r>
        <w:rPr>
          <w:rFonts w:ascii="仿宋_GB2312" w:eastAsia="仿宋_GB2312" w:hint="eastAsia"/>
          <w:sz w:val="32"/>
        </w:rPr>
        <w:t>1</w:t>
      </w:r>
      <w:r>
        <w:rPr>
          <w:rFonts w:ascii="仿宋_GB2312" w:eastAsia="仿宋_GB2312"/>
          <w:sz w:val="32"/>
        </w:rPr>
        <w:t>5.</w:t>
      </w:r>
      <w:r>
        <w:rPr>
          <w:rFonts w:ascii="仿宋_GB2312" w:eastAsia="仿宋_GB2312" w:hint="eastAsia"/>
          <w:sz w:val="32"/>
        </w:rPr>
        <w:t>办好第十五、十六届市运会、备战自治区第十五届运动会、申办第三届中国学生（青年）运动会</w:t>
      </w:r>
      <w:bookmarkEnd w:id="159"/>
      <w:bookmarkEnd w:id="160"/>
      <w:r>
        <w:rPr>
          <w:rFonts w:ascii="仿宋_GB2312" w:eastAsia="仿宋_GB2312" w:hint="eastAsia"/>
          <w:sz w:val="32"/>
        </w:rPr>
        <w:t>单项赛事</w:t>
      </w:r>
    </w:p>
    <w:p w14:paraId="44F415B6" w14:textId="77777777" w:rsidR="008A5C83" w:rsidRDefault="00A7141B">
      <w:pPr>
        <w:spacing w:line="240" w:lineRule="auto"/>
        <w:ind w:firstLine="640"/>
        <w:rPr>
          <w:rFonts w:ascii="仿宋_GB2312" w:eastAsia="仿宋_GB2312"/>
          <w:sz w:val="32"/>
          <w:szCs w:val="32"/>
        </w:rPr>
        <w:sectPr w:rsidR="008A5C83">
          <w:footerReference w:type="default" r:id="rId16"/>
          <w:pgSz w:w="11906" w:h="16838"/>
          <w:pgMar w:top="1440" w:right="1800" w:bottom="1440" w:left="1800" w:header="851" w:footer="992" w:gutter="0"/>
          <w:pgNumType w:start="1"/>
          <w:cols w:space="425"/>
          <w:docGrid w:type="lines" w:linePitch="381"/>
        </w:sectPr>
      </w:pPr>
      <w:r>
        <w:rPr>
          <w:rFonts w:ascii="仿宋_GB2312" w:eastAsia="仿宋_GB2312" w:hint="eastAsia"/>
          <w:sz w:val="32"/>
          <w:szCs w:val="32"/>
        </w:rPr>
        <w:t>做好</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2025</w:t>
      </w:r>
      <w:r>
        <w:rPr>
          <w:rFonts w:ascii="仿宋_GB2312" w:eastAsia="仿宋_GB2312" w:hint="eastAsia"/>
          <w:sz w:val="32"/>
          <w:szCs w:val="32"/>
        </w:rPr>
        <w:t>年市运会、</w:t>
      </w:r>
      <w:r>
        <w:rPr>
          <w:rFonts w:ascii="仿宋_GB2312" w:eastAsia="仿宋_GB2312" w:hint="eastAsia"/>
          <w:sz w:val="32"/>
          <w:szCs w:val="32"/>
        </w:rPr>
        <w:t>2022</w:t>
      </w:r>
      <w:r>
        <w:rPr>
          <w:rFonts w:ascii="仿宋_GB2312" w:eastAsia="仿宋_GB2312" w:hint="eastAsia"/>
          <w:sz w:val="32"/>
          <w:szCs w:val="32"/>
        </w:rPr>
        <w:t>年贵港区运会、</w:t>
      </w:r>
      <w:r>
        <w:rPr>
          <w:rFonts w:ascii="仿宋_GB2312" w:eastAsia="仿宋_GB2312" w:hint="eastAsia"/>
          <w:sz w:val="32"/>
          <w:szCs w:val="32"/>
        </w:rPr>
        <w:t>2023</w:t>
      </w:r>
      <w:r>
        <w:rPr>
          <w:rFonts w:ascii="仿宋_GB2312" w:eastAsia="仿宋_GB2312" w:hint="eastAsia"/>
          <w:sz w:val="32"/>
          <w:szCs w:val="32"/>
        </w:rPr>
        <w:t>年中国学生（青年）运动会等相关推进工作，围绕各项筹备工作目标，进行再督导、再部署、再落实，确保高标准、高水平完成各项拟办事项。全力备战自治区第十五届运动会，组建区运会参赛队伍，确定参赛项目及任务目标，扩大宣传覆盖面，用足用好宣传和推广平台，充分展现柳州健儿风采。结合柳州市体育场馆资源优势，积极申</w:t>
      </w:r>
      <w:r>
        <w:rPr>
          <w:rFonts w:ascii="仿宋_GB2312" w:eastAsia="仿宋_GB2312" w:hint="eastAsia"/>
          <w:sz w:val="32"/>
          <w:szCs w:val="32"/>
        </w:rPr>
        <w:lastRenderedPageBreak/>
        <w:t>办中国学生（青年）运动会单项赛事，使市民在家门口即可欣赏到高水平的运动赛事。充分把体育事业和大健康、大旅游、大文化产业结合起来，以竞技体育场地建设带动全市公共体育设施均衡发展，确保我市今后可承办更多高水平运动赛事。</w:t>
      </w:r>
    </w:p>
    <w:p w14:paraId="62F1AE26" w14:textId="77777777" w:rsidR="008A5C83" w:rsidRDefault="008A5C83">
      <w:pPr>
        <w:spacing w:line="240" w:lineRule="auto"/>
        <w:ind w:firstLine="640"/>
        <w:rPr>
          <w:rFonts w:ascii="仿宋_GB2312" w:eastAsia="仿宋_GB2312"/>
          <w:sz w:val="32"/>
          <w:szCs w:val="32"/>
        </w:rPr>
      </w:pPr>
    </w:p>
    <w:p w14:paraId="6CB2C922" w14:textId="77777777" w:rsidR="008A5C83" w:rsidRDefault="00A7141B">
      <w:pPr>
        <w:spacing w:line="540" w:lineRule="exact"/>
        <w:ind w:firstLine="602"/>
        <w:jc w:val="center"/>
        <w:rPr>
          <w:rFonts w:ascii="宋体" w:hAnsi="宋体" w:hint="eastAsia"/>
          <w:b/>
          <w:sz w:val="30"/>
          <w:szCs w:val="30"/>
        </w:rPr>
      </w:pPr>
      <w:r>
        <w:rPr>
          <w:rFonts w:ascii="宋体" w:hAnsi="宋体" w:hint="eastAsia"/>
          <w:b/>
          <w:sz w:val="30"/>
          <w:szCs w:val="30"/>
        </w:rPr>
        <w:t>附件：</w:t>
      </w:r>
      <w:r>
        <w:rPr>
          <w:rFonts w:ascii="宋体" w:hAnsi="宋体" w:hint="eastAsia"/>
          <w:b/>
          <w:sz w:val="36"/>
          <w:szCs w:val="36"/>
        </w:rPr>
        <w:t>柳州市体育事业“十四五”重点建设项目规划</w:t>
      </w:r>
      <w:r>
        <w:rPr>
          <w:rFonts w:ascii="宋体" w:hAnsi="宋体" w:hint="eastAsia"/>
          <w:b/>
          <w:sz w:val="36"/>
          <w:szCs w:val="36"/>
        </w:rPr>
        <w:t>(2021-2025)</w:t>
      </w:r>
    </w:p>
    <w:tbl>
      <w:tblPr>
        <w:tblW w:w="133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567"/>
        <w:gridCol w:w="1417"/>
        <w:gridCol w:w="1276"/>
        <w:gridCol w:w="850"/>
        <w:gridCol w:w="5678"/>
        <w:gridCol w:w="925"/>
        <w:gridCol w:w="1171"/>
        <w:gridCol w:w="1026"/>
      </w:tblGrid>
      <w:tr w:rsidR="008A5C83" w14:paraId="4DD20A32" w14:textId="77777777">
        <w:trPr>
          <w:trHeight w:val="1374"/>
          <w:jc w:val="center"/>
        </w:trPr>
        <w:tc>
          <w:tcPr>
            <w:tcW w:w="421" w:type="dxa"/>
            <w:vAlign w:val="center"/>
          </w:tcPr>
          <w:p w14:paraId="21DB1BAF"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项目</w:t>
            </w:r>
          </w:p>
          <w:p w14:paraId="6DC1C5A3"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类别</w:t>
            </w:r>
          </w:p>
        </w:tc>
        <w:tc>
          <w:tcPr>
            <w:tcW w:w="567" w:type="dxa"/>
            <w:vAlign w:val="center"/>
          </w:tcPr>
          <w:p w14:paraId="3DC7FFD7"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编号</w:t>
            </w:r>
          </w:p>
        </w:tc>
        <w:tc>
          <w:tcPr>
            <w:tcW w:w="1417" w:type="dxa"/>
            <w:vAlign w:val="center"/>
          </w:tcPr>
          <w:p w14:paraId="3CAEBE3C"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项目名称</w:t>
            </w:r>
          </w:p>
        </w:tc>
        <w:tc>
          <w:tcPr>
            <w:tcW w:w="1276" w:type="dxa"/>
            <w:vAlign w:val="center"/>
          </w:tcPr>
          <w:p w14:paraId="16C4E98D"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建设</w:t>
            </w:r>
          </w:p>
          <w:p w14:paraId="1B409354"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地点</w:t>
            </w:r>
          </w:p>
        </w:tc>
        <w:tc>
          <w:tcPr>
            <w:tcW w:w="850" w:type="dxa"/>
            <w:vAlign w:val="center"/>
          </w:tcPr>
          <w:p w14:paraId="1760AD79"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合作方</w:t>
            </w:r>
          </w:p>
        </w:tc>
        <w:tc>
          <w:tcPr>
            <w:tcW w:w="5678" w:type="dxa"/>
            <w:vAlign w:val="center"/>
          </w:tcPr>
          <w:p w14:paraId="72EBB805"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主要建设内容及规模</w:t>
            </w:r>
          </w:p>
        </w:tc>
        <w:tc>
          <w:tcPr>
            <w:tcW w:w="925" w:type="dxa"/>
            <w:vAlign w:val="center"/>
          </w:tcPr>
          <w:p w14:paraId="57FF9971"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计划总投资</w:t>
            </w:r>
          </w:p>
          <w:p w14:paraId="03AE672F"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（万元）</w:t>
            </w:r>
          </w:p>
        </w:tc>
        <w:tc>
          <w:tcPr>
            <w:tcW w:w="1171" w:type="dxa"/>
            <w:vAlign w:val="center"/>
          </w:tcPr>
          <w:p w14:paraId="54B93576"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资金来源</w:t>
            </w:r>
          </w:p>
        </w:tc>
        <w:tc>
          <w:tcPr>
            <w:tcW w:w="1026" w:type="dxa"/>
            <w:vAlign w:val="center"/>
          </w:tcPr>
          <w:p w14:paraId="6044E354"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建设起止年限</w:t>
            </w:r>
          </w:p>
        </w:tc>
      </w:tr>
      <w:tr w:rsidR="008A5C83" w14:paraId="0F83F7C6" w14:textId="77777777">
        <w:trPr>
          <w:trHeight w:val="557"/>
          <w:tblHeader/>
          <w:jc w:val="center"/>
        </w:trPr>
        <w:tc>
          <w:tcPr>
            <w:tcW w:w="421" w:type="dxa"/>
            <w:vMerge w:val="restart"/>
            <w:vAlign w:val="center"/>
          </w:tcPr>
          <w:p w14:paraId="0DDE0399"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基础项目类</w:t>
            </w:r>
          </w:p>
        </w:tc>
        <w:tc>
          <w:tcPr>
            <w:tcW w:w="567" w:type="dxa"/>
            <w:vAlign w:val="center"/>
          </w:tcPr>
          <w:p w14:paraId="193CB97C"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1</w:t>
            </w:r>
          </w:p>
        </w:tc>
        <w:tc>
          <w:tcPr>
            <w:tcW w:w="1417" w:type="dxa"/>
            <w:vAlign w:val="center"/>
          </w:tcPr>
          <w:p w14:paraId="49A486AA"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sz w:val="21"/>
                <w:szCs w:val="21"/>
              </w:rPr>
              <w:t>46</w:t>
            </w:r>
            <w:r>
              <w:rPr>
                <w:rFonts w:ascii="Calibri" w:eastAsia="宋体" w:hAnsi="Calibri" w:cs="Times New Roman" w:hint="eastAsia"/>
                <w:sz w:val="21"/>
                <w:szCs w:val="21"/>
              </w:rPr>
              <w:t>个足球场</w:t>
            </w:r>
          </w:p>
        </w:tc>
        <w:tc>
          <w:tcPr>
            <w:tcW w:w="1276" w:type="dxa"/>
            <w:vAlign w:val="center"/>
          </w:tcPr>
          <w:p w14:paraId="47CEFF93"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w:t>
            </w:r>
          </w:p>
        </w:tc>
        <w:tc>
          <w:tcPr>
            <w:tcW w:w="850" w:type="dxa"/>
            <w:vAlign w:val="center"/>
          </w:tcPr>
          <w:p w14:paraId="6B2F7FBE"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待定</w:t>
            </w:r>
          </w:p>
        </w:tc>
        <w:tc>
          <w:tcPr>
            <w:tcW w:w="5678" w:type="dxa"/>
            <w:vAlign w:val="center"/>
          </w:tcPr>
          <w:p w14:paraId="184497F5"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2021</w:t>
            </w:r>
            <w:r>
              <w:rPr>
                <w:rFonts w:ascii="Calibri" w:eastAsia="宋体" w:hAnsi="Calibri" w:cs="Times New Roman" w:hint="eastAsia"/>
                <w:sz w:val="21"/>
                <w:szCs w:val="21"/>
              </w:rPr>
              <w:t>年建设</w:t>
            </w:r>
            <w:r>
              <w:rPr>
                <w:rFonts w:ascii="Calibri" w:eastAsia="宋体" w:hAnsi="Calibri" w:cs="Times New Roman" w:hint="eastAsia"/>
                <w:sz w:val="21"/>
                <w:szCs w:val="21"/>
              </w:rPr>
              <w:t>26</w:t>
            </w:r>
            <w:r>
              <w:rPr>
                <w:rFonts w:ascii="Calibri" w:eastAsia="宋体" w:hAnsi="Calibri" w:cs="Times New Roman" w:hint="eastAsia"/>
                <w:sz w:val="21"/>
                <w:szCs w:val="21"/>
              </w:rPr>
              <w:t>个，</w:t>
            </w:r>
            <w:r>
              <w:rPr>
                <w:rFonts w:ascii="Calibri" w:eastAsia="宋体" w:hAnsi="Calibri" w:cs="Times New Roman" w:hint="eastAsia"/>
                <w:sz w:val="21"/>
                <w:szCs w:val="21"/>
              </w:rPr>
              <w:t>2022</w:t>
            </w:r>
            <w:r>
              <w:rPr>
                <w:rFonts w:ascii="Calibri" w:eastAsia="宋体" w:hAnsi="Calibri" w:cs="Times New Roman" w:hint="eastAsia"/>
                <w:sz w:val="21"/>
                <w:szCs w:val="21"/>
              </w:rPr>
              <w:t>年建设</w:t>
            </w:r>
            <w:r>
              <w:rPr>
                <w:rFonts w:ascii="Calibri" w:eastAsia="宋体" w:hAnsi="Calibri" w:cs="Times New Roman" w:hint="eastAsia"/>
                <w:sz w:val="21"/>
                <w:szCs w:val="21"/>
              </w:rPr>
              <w:t>20</w:t>
            </w:r>
            <w:r>
              <w:rPr>
                <w:rFonts w:ascii="Calibri" w:eastAsia="宋体" w:hAnsi="Calibri" w:cs="Times New Roman" w:hint="eastAsia"/>
                <w:sz w:val="21"/>
                <w:szCs w:val="21"/>
              </w:rPr>
              <w:t>个。</w:t>
            </w:r>
          </w:p>
        </w:tc>
        <w:tc>
          <w:tcPr>
            <w:tcW w:w="925" w:type="dxa"/>
            <w:vAlign w:val="center"/>
          </w:tcPr>
          <w:p w14:paraId="1A865644"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21000</w:t>
            </w:r>
          </w:p>
        </w:tc>
        <w:tc>
          <w:tcPr>
            <w:tcW w:w="1171" w:type="dxa"/>
            <w:vAlign w:val="center"/>
          </w:tcPr>
          <w:p w14:paraId="2EA83463"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业主自筹</w:t>
            </w:r>
          </w:p>
          <w:p w14:paraId="05EE90F6"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财政资金</w:t>
            </w:r>
          </w:p>
        </w:tc>
        <w:tc>
          <w:tcPr>
            <w:tcW w:w="1026" w:type="dxa"/>
            <w:vAlign w:val="center"/>
          </w:tcPr>
          <w:p w14:paraId="2C3BDC6C"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2021-2022</w:t>
            </w:r>
          </w:p>
        </w:tc>
      </w:tr>
      <w:tr w:rsidR="008A5C83" w14:paraId="16E73CCD" w14:textId="77777777">
        <w:trPr>
          <w:trHeight w:val="626"/>
          <w:tblHeader/>
          <w:jc w:val="center"/>
        </w:trPr>
        <w:tc>
          <w:tcPr>
            <w:tcW w:w="421" w:type="dxa"/>
            <w:vMerge/>
          </w:tcPr>
          <w:p w14:paraId="54C526EB" w14:textId="77777777" w:rsidR="008A5C83" w:rsidRDefault="008A5C83">
            <w:pPr>
              <w:spacing w:line="240" w:lineRule="auto"/>
              <w:ind w:firstLineChars="0" w:firstLine="0"/>
              <w:jc w:val="center"/>
              <w:rPr>
                <w:rFonts w:ascii="Calibri" w:eastAsia="宋体" w:hAnsi="Calibri" w:cs="Times New Roman"/>
                <w:sz w:val="21"/>
                <w:szCs w:val="21"/>
              </w:rPr>
            </w:pPr>
          </w:p>
        </w:tc>
        <w:tc>
          <w:tcPr>
            <w:tcW w:w="567" w:type="dxa"/>
            <w:vAlign w:val="center"/>
          </w:tcPr>
          <w:p w14:paraId="2A72E3DB"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w:t>
            </w:r>
          </w:p>
        </w:tc>
        <w:tc>
          <w:tcPr>
            <w:tcW w:w="1417" w:type="dxa"/>
            <w:vAlign w:val="center"/>
          </w:tcPr>
          <w:p w14:paraId="149C2446"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sz w:val="21"/>
                <w:szCs w:val="21"/>
              </w:rPr>
              <w:t>2</w:t>
            </w:r>
            <w:r>
              <w:rPr>
                <w:rFonts w:ascii="Calibri" w:eastAsia="宋体" w:hAnsi="Calibri" w:cs="Times New Roman" w:hint="eastAsia"/>
                <w:sz w:val="21"/>
                <w:szCs w:val="21"/>
              </w:rPr>
              <w:t>0</w:t>
            </w:r>
            <w:r>
              <w:rPr>
                <w:rFonts w:ascii="Calibri" w:eastAsia="宋体" w:hAnsi="Calibri" w:cs="Times New Roman" w:hint="eastAsia"/>
                <w:sz w:val="21"/>
                <w:szCs w:val="21"/>
              </w:rPr>
              <w:t>个社区多功能运动场</w:t>
            </w:r>
          </w:p>
        </w:tc>
        <w:tc>
          <w:tcPr>
            <w:tcW w:w="1276" w:type="dxa"/>
            <w:vAlign w:val="center"/>
          </w:tcPr>
          <w:p w14:paraId="4528517E"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w:t>
            </w:r>
          </w:p>
        </w:tc>
        <w:tc>
          <w:tcPr>
            <w:tcW w:w="850" w:type="dxa"/>
            <w:vAlign w:val="center"/>
          </w:tcPr>
          <w:p w14:paraId="36CB343A"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待定</w:t>
            </w:r>
          </w:p>
        </w:tc>
        <w:tc>
          <w:tcPr>
            <w:tcW w:w="5678" w:type="dxa"/>
            <w:vAlign w:val="center"/>
          </w:tcPr>
          <w:p w14:paraId="2C9F6CAA"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2021</w:t>
            </w:r>
            <w:r>
              <w:rPr>
                <w:rFonts w:ascii="Calibri" w:eastAsia="宋体" w:hAnsi="Calibri" w:cs="Times New Roman" w:hint="eastAsia"/>
                <w:sz w:val="21"/>
                <w:szCs w:val="21"/>
              </w:rPr>
              <w:t>年</w:t>
            </w:r>
            <w:r>
              <w:rPr>
                <w:rFonts w:ascii="Calibri" w:eastAsia="宋体" w:hAnsi="Calibri" w:cs="Times New Roman" w:hint="eastAsia"/>
                <w:sz w:val="21"/>
                <w:szCs w:val="21"/>
              </w:rPr>
              <w:t>10</w:t>
            </w:r>
            <w:r>
              <w:rPr>
                <w:rFonts w:ascii="Calibri" w:eastAsia="宋体" w:hAnsi="Calibri" w:cs="Times New Roman" w:hint="eastAsia"/>
                <w:sz w:val="21"/>
                <w:szCs w:val="21"/>
              </w:rPr>
              <w:t>个，</w:t>
            </w:r>
            <w:r>
              <w:rPr>
                <w:rFonts w:ascii="Calibri" w:eastAsia="宋体" w:hAnsi="Calibri" w:cs="Times New Roman" w:hint="eastAsia"/>
                <w:sz w:val="21"/>
                <w:szCs w:val="21"/>
              </w:rPr>
              <w:t>2022</w:t>
            </w:r>
            <w:r>
              <w:rPr>
                <w:rFonts w:ascii="Calibri" w:eastAsia="宋体" w:hAnsi="Calibri" w:cs="Times New Roman" w:hint="eastAsia"/>
                <w:sz w:val="21"/>
                <w:szCs w:val="21"/>
              </w:rPr>
              <w:t>年</w:t>
            </w:r>
            <w:r>
              <w:rPr>
                <w:rFonts w:ascii="Calibri" w:eastAsia="宋体" w:hAnsi="Calibri" w:cs="Times New Roman" w:hint="eastAsia"/>
                <w:sz w:val="21"/>
                <w:szCs w:val="21"/>
              </w:rPr>
              <w:t>10</w:t>
            </w:r>
            <w:r>
              <w:rPr>
                <w:rFonts w:ascii="Calibri" w:eastAsia="宋体" w:hAnsi="Calibri" w:cs="Times New Roman" w:hint="eastAsia"/>
                <w:sz w:val="21"/>
                <w:szCs w:val="21"/>
              </w:rPr>
              <w:t>个。</w:t>
            </w:r>
          </w:p>
        </w:tc>
        <w:tc>
          <w:tcPr>
            <w:tcW w:w="925" w:type="dxa"/>
            <w:vAlign w:val="center"/>
          </w:tcPr>
          <w:p w14:paraId="7B187631"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9000</w:t>
            </w:r>
          </w:p>
        </w:tc>
        <w:tc>
          <w:tcPr>
            <w:tcW w:w="1171" w:type="dxa"/>
            <w:vAlign w:val="center"/>
          </w:tcPr>
          <w:p w14:paraId="747B3E18"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业主自筹</w:t>
            </w:r>
            <w:r>
              <w:rPr>
                <w:rFonts w:ascii="Calibri" w:eastAsia="宋体" w:hAnsi="Calibri" w:cs="Times New Roman" w:hint="eastAsia"/>
                <w:sz w:val="21"/>
                <w:szCs w:val="21"/>
              </w:rPr>
              <w:br/>
            </w:r>
            <w:r>
              <w:rPr>
                <w:rFonts w:ascii="Calibri" w:eastAsia="宋体" w:hAnsi="Calibri" w:cs="Times New Roman" w:hint="eastAsia"/>
                <w:sz w:val="21"/>
                <w:szCs w:val="21"/>
              </w:rPr>
              <w:t>财政资金</w:t>
            </w:r>
          </w:p>
        </w:tc>
        <w:tc>
          <w:tcPr>
            <w:tcW w:w="1026" w:type="dxa"/>
            <w:vAlign w:val="center"/>
          </w:tcPr>
          <w:p w14:paraId="370A0825"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2021-2022</w:t>
            </w:r>
          </w:p>
        </w:tc>
      </w:tr>
      <w:tr w:rsidR="008A5C83" w14:paraId="6EFD3D3B" w14:textId="77777777">
        <w:trPr>
          <w:trHeight w:val="916"/>
          <w:tblHeader/>
          <w:jc w:val="center"/>
        </w:trPr>
        <w:tc>
          <w:tcPr>
            <w:tcW w:w="421" w:type="dxa"/>
            <w:vMerge/>
          </w:tcPr>
          <w:p w14:paraId="40143148" w14:textId="77777777" w:rsidR="008A5C83" w:rsidRDefault="008A5C83">
            <w:pPr>
              <w:spacing w:line="240" w:lineRule="auto"/>
              <w:ind w:firstLineChars="0" w:firstLine="0"/>
              <w:jc w:val="center"/>
              <w:rPr>
                <w:rFonts w:ascii="Calibri" w:eastAsia="宋体" w:hAnsi="Calibri" w:cs="Times New Roman"/>
                <w:sz w:val="21"/>
                <w:szCs w:val="21"/>
              </w:rPr>
            </w:pPr>
          </w:p>
        </w:tc>
        <w:tc>
          <w:tcPr>
            <w:tcW w:w="567" w:type="dxa"/>
            <w:vAlign w:val="center"/>
          </w:tcPr>
          <w:p w14:paraId="61B36275"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3</w:t>
            </w:r>
          </w:p>
        </w:tc>
        <w:tc>
          <w:tcPr>
            <w:tcW w:w="1417" w:type="dxa"/>
            <w:vAlign w:val="center"/>
          </w:tcPr>
          <w:p w14:paraId="39D51166"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10</w:t>
            </w:r>
            <w:r>
              <w:rPr>
                <w:rFonts w:ascii="Calibri" w:eastAsia="宋体" w:hAnsi="Calibri" w:cs="Times New Roman" w:hint="eastAsia"/>
                <w:sz w:val="21"/>
                <w:szCs w:val="21"/>
              </w:rPr>
              <w:t>个邻里中心</w:t>
            </w:r>
          </w:p>
          <w:p w14:paraId="3E09494D" w14:textId="77777777" w:rsidR="008A5C83" w:rsidRDefault="008A5C83">
            <w:pPr>
              <w:spacing w:line="240" w:lineRule="auto"/>
              <w:ind w:firstLineChars="0" w:firstLine="0"/>
              <w:jc w:val="center"/>
              <w:rPr>
                <w:rFonts w:ascii="Calibri" w:eastAsia="宋体" w:hAnsi="Calibri" w:cs="Times New Roman"/>
                <w:sz w:val="21"/>
                <w:szCs w:val="21"/>
              </w:rPr>
            </w:pPr>
          </w:p>
        </w:tc>
        <w:tc>
          <w:tcPr>
            <w:tcW w:w="1276" w:type="dxa"/>
            <w:vAlign w:val="center"/>
          </w:tcPr>
          <w:p w14:paraId="054DE13F"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五个城区</w:t>
            </w:r>
          </w:p>
        </w:tc>
        <w:tc>
          <w:tcPr>
            <w:tcW w:w="850" w:type="dxa"/>
            <w:vAlign w:val="center"/>
          </w:tcPr>
          <w:p w14:paraId="17C6F24D"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城建集团（暂定）</w:t>
            </w:r>
          </w:p>
        </w:tc>
        <w:tc>
          <w:tcPr>
            <w:tcW w:w="5678" w:type="dxa"/>
            <w:vAlign w:val="center"/>
          </w:tcPr>
          <w:p w14:paraId="464A213B"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前茅邻里中心、莲花山庄邻里中心、天山路邻里中心、葡萄山邻里中心、中铁邻里中心、</w:t>
            </w:r>
            <w:proofErr w:type="gramStart"/>
            <w:r>
              <w:rPr>
                <w:rFonts w:ascii="Calibri" w:eastAsia="宋体" w:hAnsi="Calibri" w:cs="Times New Roman" w:hint="eastAsia"/>
                <w:sz w:val="21"/>
                <w:szCs w:val="21"/>
              </w:rPr>
              <w:t>龙屯路邻里</w:t>
            </w:r>
            <w:proofErr w:type="gramEnd"/>
            <w:r>
              <w:rPr>
                <w:rFonts w:ascii="Calibri" w:eastAsia="宋体" w:hAnsi="Calibri" w:cs="Times New Roman" w:hint="eastAsia"/>
                <w:sz w:val="21"/>
                <w:szCs w:val="21"/>
              </w:rPr>
              <w:t>中心、</w:t>
            </w:r>
            <w:proofErr w:type="gramStart"/>
            <w:r>
              <w:rPr>
                <w:rFonts w:ascii="Calibri" w:eastAsia="宋体" w:hAnsi="Calibri" w:cs="Times New Roman" w:hint="eastAsia"/>
                <w:sz w:val="21"/>
                <w:szCs w:val="21"/>
              </w:rPr>
              <w:t>双冲邻里</w:t>
            </w:r>
            <w:proofErr w:type="gramEnd"/>
            <w:r>
              <w:rPr>
                <w:rFonts w:ascii="Calibri" w:eastAsia="宋体" w:hAnsi="Calibri" w:cs="Times New Roman" w:hint="eastAsia"/>
                <w:sz w:val="21"/>
                <w:szCs w:val="21"/>
              </w:rPr>
              <w:t>中心、白露邻里中心、柳江新城邻里中心、兴</w:t>
            </w:r>
            <w:proofErr w:type="gramStart"/>
            <w:r>
              <w:rPr>
                <w:rFonts w:ascii="Calibri" w:eastAsia="宋体" w:hAnsi="Calibri" w:cs="Times New Roman" w:hint="eastAsia"/>
                <w:sz w:val="21"/>
                <w:szCs w:val="21"/>
              </w:rPr>
              <w:t>柳路邻里</w:t>
            </w:r>
            <w:proofErr w:type="gramEnd"/>
            <w:r>
              <w:rPr>
                <w:rFonts w:ascii="Calibri" w:eastAsia="宋体" w:hAnsi="Calibri" w:cs="Times New Roman" w:hint="eastAsia"/>
                <w:sz w:val="21"/>
                <w:szCs w:val="21"/>
              </w:rPr>
              <w:t>中心</w:t>
            </w:r>
          </w:p>
        </w:tc>
        <w:tc>
          <w:tcPr>
            <w:tcW w:w="925" w:type="dxa"/>
            <w:vAlign w:val="center"/>
          </w:tcPr>
          <w:p w14:paraId="24E9A32F"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sz w:val="21"/>
                <w:szCs w:val="21"/>
              </w:rPr>
              <w:t>——</w:t>
            </w:r>
          </w:p>
        </w:tc>
        <w:tc>
          <w:tcPr>
            <w:tcW w:w="1171" w:type="dxa"/>
            <w:vAlign w:val="center"/>
          </w:tcPr>
          <w:p w14:paraId="3226183E"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业主自筹</w:t>
            </w:r>
          </w:p>
          <w:p w14:paraId="7A7CD803"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财政资金</w:t>
            </w:r>
          </w:p>
        </w:tc>
        <w:tc>
          <w:tcPr>
            <w:tcW w:w="1026" w:type="dxa"/>
            <w:vAlign w:val="center"/>
          </w:tcPr>
          <w:p w14:paraId="2277F4F6"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2021-2025</w:t>
            </w:r>
          </w:p>
        </w:tc>
      </w:tr>
      <w:tr w:rsidR="008A5C83" w14:paraId="102ABEFF" w14:textId="77777777">
        <w:trPr>
          <w:trHeight w:val="916"/>
          <w:jc w:val="center"/>
        </w:trPr>
        <w:tc>
          <w:tcPr>
            <w:tcW w:w="421" w:type="dxa"/>
            <w:vMerge/>
          </w:tcPr>
          <w:p w14:paraId="042305A9" w14:textId="77777777" w:rsidR="008A5C83" w:rsidRDefault="008A5C83">
            <w:pPr>
              <w:spacing w:line="240" w:lineRule="auto"/>
              <w:ind w:firstLineChars="0" w:firstLine="0"/>
              <w:jc w:val="center"/>
              <w:rPr>
                <w:rFonts w:ascii="Calibri" w:eastAsia="宋体" w:hAnsi="Calibri" w:cs="Times New Roman"/>
                <w:sz w:val="21"/>
                <w:szCs w:val="21"/>
              </w:rPr>
            </w:pPr>
          </w:p>
        </w:tc>
        <w:tc>
          <w:tcPr>
            <w:tcW w:w="567" w:type="dxa"/>
            <w:vAlign w:val="center"/>
          </w:tcPr>
          <w:p w14:paraId="4E9CD65F"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sz w:val="21"/>
                <w:szCs w:val="21"/>
              </w:rPr>
              <w:t>4</w:t>
            </w:r>
          </w:p>
        </w:tc>
        <w:tc>
          <w:tcPr>
            <w:tcW w:w="1417" w:type="dxa"/>
            <w:vAlign w:val="center"/>
          </w:tcPr>
          <w:p w14:paraId="71D8DA44"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柳州市沿江滨水景观大</w:t>
            </w:r>
            <w:r>
              <w:rPr>
                <w:rFonts w:ascii="Calibri" w:eastAsia="宋体" w:hAnsi="Calibri" w:cs="Times New Roman" w:hint="eastAsia"/>
                <w:sz w:val="21"/>
                <w:szCs w:val="21"/>
              </w:rPr>
              <w:lastRenderedPageBreak/>
              <w:t>道</w:t>
            </w:r>
          </w:p>
        </w:tc>
        <w:tc>
          <w:tcPr>
            <w:tcW w:w="1276" w:type="dxa"/>
            <w:vAlign w:val="center"/>
          </w:tcPr>
          <w:p w14:paraId="273A6827"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lastRenderedPageBreak/>
              <w:t>柳州市三门江公园内</w:t>
            </w:r>
          </w:p>
        </w:tc>
        <w:tc>
          <w:tcPr>
            <w:tcW w:w="850" w:type="dxa"/>
            <w:vAlign w:val="center"/>
          </w:tcPr>
          <w:p w14:paraId="06BA66FB"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柳州市城投公</w:t>
            </w:r>
            <w:r>
              <w:rPr>
                <w:rFonts w:ascii="Calibri" w:eastAsia="宋体" w:hAnsi="Calibri" w:cs="Times New Roman" w:hint="eastAsia"/>
                <w:sz w:val="21"/>
                <w:szCs w:val="21"/>
              </w:rPr>
              <w:lastRenderedPageBreak/>
              <w:t>司</w:t>
            </w:r>
          </w:p>
        </w:tc>
        <w:tc>
          <w:tcPr>
            <w:tcW w:w="5678" w:type="dxa"/>
            <w:vAlign w:val="center"/>
          </w:tcPr>
          <w:p w14:paraId="380D513F"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lastRenderedPageBreak/>
              <w:t>沿江修建的城市景观公路位于柳州市三门江森林公园内，全长</w:t>
            </w:r>
            <w:r>
              <w:rPr>
                <w:rFonts w:ascii="Calibri" w:eastAsia="宋体" w:hAnsi="Calibri" w:cs="Times New Roman" w:hint="eastAsia"/>
                <w:sz w:val="21"/>
                <w:szCs w:val="21"/>
              </w:rPr>
              <w:t>23.5</w:t>
            </w:r>
            <w:r>
              <w:rPr>
                <w:rFonts w:ascii="Calibri" w:eastAsia="宋体" w:hAnsi="Calibri" w:cs="Times New Roman" w:hint="eastAsia"/>
                <w:sz w:val="21"/>
                <w:szCs w:val="21"/>
              </w:rPr>
              <w:t>公里，可举办马拉松、自行车、</w:t>
            </w:r>
            <w:proofErr w:type="gramStart"/>
            <w:r>
              <w:rPr>
                <w:rFonts w:ascii="Calibri" w:eastAsia="宋体" w:hAnsi="Calibri" w:cs="Times New Roman" w:hint="eastAsia"/>
                <w:sz w:val="21"/>
                <w:szCs w:val="21"/>
              </w:rPr>
              <w:t>徒步等</w:t>
            </w:r>
            <w:proofErr w:type="gramEnd"/>
            <w:r>
              <w:rPr>
                <w:rFonts w:ascii="Calibri" w:eastAsia="宋体" w:hAnsi="Calibri" w:cs="Times New Roman" w:hint="eastAsia"/>
                <w:sz w:val="21"/>
                <w:szCs w:val="21"/>
              </w:rPr>
              <w:t>户外赛事和</w:t>
            </w:r>
            <w:r>
              <w:rPr>
                <w:rFonts w:ascii="Calibri" w:eastAsia="宋体" w:hAnsi="Calibri" w:cs="Times New Roman" w:hint="eastAsia"/>
                <w:sz w:val="21"/>
                <w:szCs w:val="21"/>
              </w:rPr>
              <w:lastRenderedPageBreak/>
              <w:t>活动。</w:t>
            </w:r>
          </w:p>
        </w:tc>
        <w:tc>
          <w:tcPr>
            <w:tcW w:w="925" w:type="dxa"/>
            <w:vAlign w:val="center"/>
          </w:tcPr>
          <w:p w14:paraId="71F2C237"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lastRenderedPageBreak/>
              <w:t>120000</w:t>
            </w:r>
          </w:p>
        </w:tc>
        <w:tc>
          <w:tcPr>
            <w:tcW w:w="1171" w:type="dxa"/>
            <w:vAlign w:val="center"/>
          </w:tcPr>
          <w:p w14:paraId="09119A24"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财政投资</w:t>
            </w:r>
          </w:p>
          <w:p w14:paraId="035308C2"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企业融资</w:t>
            </w:r>
          </w:p>
        </w:tc>
        <w:tc>
          <w:tcPr>
            <w:tcW w:w="1026" w:type="dxa"/>
            <w:vAlign w:val="center"/>
          </w:tcPr>
          <w:p w14:paraId="2383BE5D"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2021-2025</w:t>
            </w:r>
          </w:p>
        </w:tc>
      </w:tr>
      <w:tr w:rsidR="008A5C83" w14:paraId="6A2BE010" w14:textId="77777777">
        <w:trPr>
          <w:trHeight w:val="416"/>
          <w:jc w:val="center"/>
        </w:trPr>
        <w:tc>
          <w:tcPr>
            <w:tcW w:w="421" w:type="dxa"/>
            <w:vMerge/>
          </w:tcPr>
          <w:p w14:paraId="52EDF282" w14:textId="77777777" w:rsidR="008A5C83" w:rsidRDefault="008A5C83">
            <w:pPr>
              <w:spacing w:line="240" w:lineRule="auto"/>
              <w:ind w:firstLineChars="0" w:firstLine="0"/>
              <w:jc w:val="center"/>
              <w:rPr>
                <w:rFonts w:ascii="Calibri" w:eastAsia="宋体" w:hAnsi="Calibri" w:cs="Times New Roman"/>
                <w:sz w:val="21"/>
                <w:szCs w:val="21"/>
              </w:rPr>
            </w:pPr>
          </w:p>
        </w:tc>
        <w:tc>
          <w:tcPr>
            <w:tcW w:w="567" w:type="dxa"/>
            <w:vAlign w:val="center"/>
          </w:tcPr>
          <w:p w14:paraId="0D7D5612"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sz w:val="21"/>
                <w:szCs w:val="21"/>
              </w:rPr>
              <w:t>5</w:t>
            </w:r>
          </w:p>
        </w:tc>
        <w:tc>
          <w:tcPr>
            <w:tcW w:w="1417" w:type="dxa"/>
            <w:vAlign w:val="center"/>
          </w:tcPr>
          <w:p w14:paraId="1C5BB926"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sz w:val="21"/>
                <w:szCs w:val="21"/>
              </w:rPr>
              <w:t>8</w:t>
            </w:r>
            <w:r>
              <w:rPr>
                <w:rFonts w:ascii="Calibri" w:eastAsia="宋体" w:hAnsi="Calibri" w:cs="Times New Roman" w:hint="eastAsia"/>
                <w:sz w:val="21"/>
                <w:szCs w:val="21"/>
              </w:rPr>
              <w:t>条慢行步道</w:t>
            </w:r>
          </w:p>
        </w:tc>
        <w:tc>
          <w:tcPr>
            <w:tcW w:w="1276" w:type="dxa"/>
            <w:vAlign w:val="center"/>
          </w:tcPr>
          <w:p w14:paraId="05DA9AA9"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w:t>
            </w:r>
          </w:p>
        </w:tc>
        <w:tc>
          <w:tcPr>
            <w:tcW w:w="850" w:type="dxa"/>
            <w:vAlign w:val="center"/>
          </w:tcPr>
          <w:p w14:paraId="2E6BED2F"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待定</w:t>
            </w:r>
          </w:p>
        </w:tc>
        <w:tc>
          <w:tcPr>
            <w:tcW w:w="5678" w:type="dxa"/>
            <w:vAlign w:val="center"/>
          </w:tcPr>
          <w:p w14:paraId="7D76E8DB"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共计完成</w:t>
            </w:r>
            <w:r>
              <w:rPr>
                <w:rFonts w:ascii="Calibri" w:eastAsia="宋体" w:hAnsi="Calibri" w:cs="Times New Roman" w:hint="eastAsia"/>
                <w:sz w:val="21"/>
                <w:szCs w:val="21"/>
              </w:rPr>
              <w:t>1</w:t>
            </w:r>
            <w:r>
              <w:rPr>
                <w:rFonts w:ascii="Calibri" w:eastAsia="宋体" w:hAnsi="Calibri" w:cs="Times New Roman"/>
                <w:sz w:val="21"/>
                <w:szCs w:val="21"/>
              </w:rPr>
              <w:t>2</w:t>
            </w:r>
            <w:r>
              <w:rPr>
                <w:rFonts w:ascii="Calibri" w:eastAsia="宋体" w:hAnsi="Calibri" w:cs="Times New Roman" w:hint="eastAsia"/>
                <w:sz w:val="21"/>
                <w:szCs w:val="21"/>
              </w:rPr>
              <w:t>0</w:t>
            </w:r>
            <w:r>
              <w:rPr>
                <w:rFonts w:ascii="Calibri" w:eastAsia="宋体" w:hAnsi="Calibri" w:cs="Times New Roman" w:hint="eastAsia"/>
                <w:sz w:val="21"/>
                <w:szCs w:val="21"/>
              </w:rPr>
              <w:t>公里慢行步道，</w:t>
            </w:r>
            <w:r>
              <w:rPr>
                <w:rFonts w:ascii="Calibri" w:eastAsia="宋体" w:hAnsi="Calibri" w:cs="Times New Roman" w:hint="eastAsia"/>
                <w:sz w:val="21"/>
                <w:szCs w:val="21"/>
              </w:rPr>
              <w:t xml:space="preserve"> 2021</w:t>
            </w:r>
            <w:r>
              <w:rPr>
                <w:rFonts w:ascii="Calibri" w:eastAsia="宋体" w:hAnsi="Calibri" w:cs="Times New Roman" w:hint="eastAsia"/>
                <w:sz w:val="21"/>
                <w:szCs w:val="21"/>
              </w:rPr>
              <w:t>年</w:t>
            </w:r>
            <w:r>
              <w:rPr>
                <w:rFonts w:ascii="Calibri" w:eastAsia="宋体" w:hAnsi="Calibri" w:cs="Times New Roman" w:hint="eastAsia"/>
                <w:sz w:val="21"/>
                <w:szCs w:val="21"/>
              </w:rPr>
              <w:t>4</w:t>
            </w:r>
            <w:r>
              <w:rPr>
                <w:rFonts w:ascii="Calibri" w:eastAsia="宋体" w:hAnsi="Calibri" w:cs="Times New Roman" w:hint="eastAsia"/>
                <w:sz w:val="21"/>
                <w:szCs w:val="21"/>
              </w:rPr>
              <w:t>个，</w:t>
            </w:r>
            <w:r>
              <w:rPr>
                <w:rFonts w:ascii="Calibri" w:eastAsia="宋体" w:hAnsi="Calibri" w:cs="Times New Roman" w:hint="eastAsia"/>
                <w:sz w:val="21"/>
                <w:szCs w:val="21"/>
              </w:rPr>
              <w:t>2022</w:t>
            </w:r>
            <w:r>
              <w:rPr>
                <w:rFonts w:ascii="Calibri" w:eastAsia="宋体" w:hAnsi="Calibri" w:cs="Times New Roman" w:hint="eastAsia"/>
                <w:sz w:val="21"/>
                <w:szCs w:val="21"/>
              </w:rPr>
              <w:t>年</w:t>
            </w:r>
            <w:r>
              <w:rPr>
                <w:rFonts w:ascii="Calibri" w:eastAsia="宋体" w:hAnsi="Calibri" w:cs="Times New Roman" w:hint="eastAsia"/>
                <w:sz w:val="21"/>
                <w:szCs w:val="21"/>
              </w:rPr>
              <w:t>4</w:t>
            </w:r>
            <w:r>
              <w:rPr>
                <w:rFonts w:ascii="Calibri" w:eastAsia="宋体" w:hAnsi="Calibri" w:cs="Times New Roman" w:hint="eastAsia"/>
                <w:sz w:val="21"/>
                <w:szCs w:val="21"/>
              </w:rPr>
              <w:t>个。</w:t>
            </w:r>
          </w:p>
          <w:p w14:paraId="55D01005" w14:textId="77777777" w:rsidR="008A5C83" w:rsidRDefault="008A5C83">
            <w:pPr>
              <w:spacing w:line="240" w:lineRule="auto"/>
              <w:ind w:firstLineChars="0" w:firstLine="0"/>
              <w:jc w:val="center"/>
              <w:rPr>
                <w:rFonts w:ascii="Calibri" w:eastAsia="宋体" w:hAnsi="Calibri" w:cs="Times New Roman"/>
                <w:sz w:val="21"/>
                <w:szCs w:val="21"/>
              </w:rPr>
            </w:pPr>
          </w:p>
        </w:tc>
        <w:tc>
          <w:tcPr>
            <w:tcW w:w="925" w:type="dxa"/>
            <w:vAlign w:val="center"/>
          </w:tcPr>
          <w:p w14:paraId="2A037067"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1800</w:t>
            </w:r>
          </w:p>
        </w:tc>
        <w:tc>
          <w:tcPr>
            <w:tcW w:w="1171" w:type="dxa"/>
            <w:vAlign w:val="center"/>
          </w:tcPr>
          <w:p w14:paraId="60FBD810"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业主自筹</w:t>
            </w:r>
          </w:p>
          <w:p w14:paraId="389CC3F1"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财政资金</w:t>
            </w:r>
          </w:p>
        </w:tc>
        <w:tc>
          <w:tcPr>
            <w:tcW w:w="1026" w:type="dxa"/>
            <w:vAlign w:val="center"/>
          </w:tcPr>
          <w:p w14:paraId="7115BE21"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w:t>
            </w:r>
            <w:r>
              <w:rPr>
                <w:rFonts w:ascii="Calibri" w:eastAsia="宋体" w:hAnsi="Calibri" w:cs="Times New Roman"/>
                <w:sz w:val="21"/>
                <w:szCs w:val="21"/>
              </w:rPr>
              <w:t>1</w:t>
            </w:r>
            <w:r>
              <w:rPr>
                <w:rFonts w:ascii="Calibri" w:eastAsia="宋体" w:hAnsi="Calibri" w:cs="Times New Roman" w:hint="eastAsia"/>
                <w:sz w:val="21"/>
                <w:szCs w:val="21"/>
              </w:rPr>
              <w:t>-2022</w:t>
            </w:r>
          </w:p>
        </w:tc>
      </w:tr>
      <w:tr w:rsidR="008A5C83" w14:paraId="5EA0726E" w14:textId="77777777">
        <w:trPr>
          <w:trHeight w:val="916"/>
          <w:jc w:val="center"/>
        </w:trPr>
        <w:tc>
          <w:tcPr>
            <w:tcW w:w="421" w:type="dxa"/>
            <w:vMerge/>
          </w:tcPr>
          <w:p w14:paraId="303FAB31" w14:textId="77777777" w:rsidR="008A5C83" w:rsidRDefault="008A5C83">
            <w:pPr>
              <w:spacing w:line="240" w:lineRule="auto"/>
              <w:ind w:firstLineChars="0" w:firstLine="0"/>
              <w:jc w:val="center"/>
              <w:rPr>
                <w:rFonts w:ascii="Calibri" w:eastAsia="宋体" w:hAnsi="Calibri" w:cs="Times New Roman"/>
                <w:sz w:val="21"/>
                <w:szCs w:val="21"/>
              </w:rPr>
            </w:pPr>
          </w:p>
        </w:tc>
        <w:tc>
          <w:tcPr>
            <w:tcW w:w="567" w:type="dxa"/>
            <w:vAlign w:val="center"/>
          </w:tcPr>
          <w:p w14:paraId="1597476D"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sz w:val="21"/>
                <w:szCs w:val="21"/>
              </w:rPr>
              <w:t>6</w:t>
            </w:r>
          </w:p>
        </w:tc>
        <w:tc>
          <w:tcPr>
            <w:tcW w:w="1417" w:type="dxa"/>
            <w:vAlign w:val="center"/>
          </w:tcPr>
          <w:p w14:paraId="679BE528"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融安大洲环岛骑行绿道</w:t>
            </w:r>
          </w:p>
        </w:tc>
        <w:tc>
          <w:tcPr>
            <w:tcW w:w="1276" w:type="dxa"/>
            <w:vAlign w:val="center"/>
          </w:tcPr>
          <w:p w14:paraId="62B31116"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融安县</w:t>
            </w:r>
          </w:p>
        </w:tc>
        <w:tc>
          <w:tcPr>
            <w:tcW w:w="850" w:type="dxa"/>
            <w:vAlign w:val="center"/>
          </w:tcPr>
          <w:p w14:paraId="0AA365DE" w14:textId="77777777" w:rsidR="008A5C83" w:rsidRDefault="008A5C83">
            <w:pPr>
              <w:spacing w:line="240" w:lineRule="auto"/>
              <w:ind w:firstLineChars="0" w:firstLine="0"/>
              <w:jc w:val="center"/>
              <w:rPr>
                <w:rFonts w:ascii="Calibri" w:eastAsia="宋体" w:hAnsi="Calibri" w:cs="Times New Roman"/>
                <w:sz w:val="21"/>
                <w:szCs w:val="21"/>
              </w:rPr>
            </w:pPr>
          </w:p>
        </w:tc>
        <w:tc>
          <w:tcPr>
            <w:tcW w:w="5678" w:type="dxa"/>
            <w:vAlign w:val="center"/>
          </w:tcPr>
          <w:p w14:paraId="3987A634"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改建移民局建设护预留的</w:t>
            </w:r>
            <w:r>
              <w:rPr>
                <w:rFonts w:ascii="Calibri" w:eastAsia="宋体" w:hAnsi="Calibri" w:cs="Times New Roman" w:hint="eastAsia"/>
                <w:sz w:val="21"/>
                <w:szCs w:val="21"/>
              </w:rPr>
              <w:t>1.5</w:t>
            </w:r>
            <w:r>
              <w:rPr>
                <w:rFonts w:ascii="Calibri" w:eastAsia="宋体" w:hAnsi="Calibri" w:cs="Times New Roman" w:hint="eastAsia"/>
                <w:sz w:val="21"/>
                <w:szCs w:val="21"/>
              </w:rPr>
              <w:t>米环岛机耕路，将路建成骑行绿道。</w:t>
            </w:r>
          </w:p>
        </w:tc>
        <w:tc>
          <w:tcPr>
            <w:tcW w:w="925" w:type="dxa"/>
            <w:vAlign w:val="center"/>
          </w:tcPr>
          <w:p w14:paraId="23FFE758"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8000</w:t>
            </w:r>
          </w:p>
        </w:tc>
        <w:tc>
          <w:tcPr>
            <w:tcW w:w="1171" w:type="dxa"/>
            <w:vAlign w:val="center"/>
          </w:tcPr>
          <w:p w14:paraId="2B5AD544"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上级资金</w:t>
            </w:r>
          </w:p>
        </w:tc>
        <w:tc>
          <w:tcPr>
            <w:tcW w:w="1026" w:type="dxa"/>
            <w:vAlign w:val="center"/>
          </w:tcPr>
          <w:p w14:paraId="56B45151"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2022-2023</w:t>
            </w:r>
          </w:p>
        </w:tc>
      </w:tr>
      <w:tr w:rsidR="008A5C83" w14:paraId="1387DAC4" w14:textId="77777777">
        <w:trPr>
          <w:trHeight w:val="916"/>
          <w:jc w:val="center"/>
        </w:trPr>
        <w:tc>
          <w:tcPr>
            <w:tcW w:w="421" w:type="dxa"/>
            <w:vMerge/>
          </w:tcPr>
          <w:p w14:paraId="4C52D647" w14:textId="77777777" w:rsidR="008A5C83" w:rsidRDefault="008A5C83">
            <w:pPr>
              <w:spacing w:line="240" w:lineRule="auto"/>
              <w:ind w:firstLineChars="0" w:firstLine="0"/>
              <w:jc w:val="center"/>
              <w:rPr>
                <w:rFonts w:ascii="Calibri" w:eastAsia="宋体" w:hAnsi="Calibri" w:cs="Times New Roman"/>
                <w:sz w:val="21"/>
                <w:szCs w:val="21"/>
              </w:rPr>
            </w:pPr>
          </w:p>
        </w:tc>
        <w:tc>
          <w:tcPr>
            <w:tcW w:w="567" w:type="dxa"/>
            <w:vAlign w:val="center"/>
          </w:tcPr>
          <w:p w14:paraId="20F34659"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sz w:val="21"/>
                <w:szCs w:val="21"/>
              </w:rPr>
              <w:t>7</w:t>
            </w:r>
          </w:p>
        </w:tc>
        <w:tc>
          <w:tcPr>
            <w:tcW w:w="1417" w:type="dxa"/>
            <w:vAlign w:val="center"/>
          </w:tcPr>
          <w:p w14:paraId="2FDE9508"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柳州市体育运动学校</w:t>
            </w:r>
          </w:p>
        </w:tc>
        <w:tc>
          <w:tcPr>
            <w:tcW w:w="1276" w:type="dxa"/>
            <w:vAlign w:val="center"/>
          </w:tcPr>
          <w:p w14:paraId="09081F70"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柳北区</w:t>
            </w:r>
          </w:p>
        </w:tc>
        <w:tc>
          <w:tcPr>
            <w:tcW w:w="850" w:type="dxa"/>
            <w:vAlign w:val="center"/>
          </w:tcPr>
          <w:p w14:paraId="17AAC2C3"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平台公司</w:t>
            </w:r>
          </w:p>
        </w:tc>
        <w:tc>
          <w:tcPr>
            <w:tcW w:w="5678" w:type="dxa"/>
            <w:vAlign w:val="center"/>
          </w:tcPr>
          <w:p w14:paraId="0CFE79BA"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柳州市体育运动学校占地</w:t>
            </w:r>
            <w:r>
              <w:rPr>
                <w:rFonts w:ascii="Calibri" w:eastAsia="宋体" w:hAnsi="Calibri" w:cs="Times New Roman" w:hint="eastAsia"/>
                <w:sz w:val="21"/>
                <w:szCs w:val="21"/>
              </w:rPr>
              <w:t>13</w:t>
            </w:r>
            <w:r>
              <w:rPr>
                <w:rFonts w:ascii="Calibri" w:eastAsia="宋体" w:hAnsi="Calibri" w:cs="Times New Roman"/>
                <w:sz w:val="21"/>
                <w:szCs w:val="21"/>
              </w:rPr>
              <w:t>0</w:t>
            </w:r>
            <w:r>
              <w:rPr>
                <w:rFonts w:ascii="Calibri" w:eastAsia="宋体" w:hAnsi="Calibri" w:cs="Times New Roman" w:hint="eastAsia"/>
                <w:sz w:val="21"/>
                <w:szCs w:val="21"/>
              </w:rPr>
              <w:t>亩，整合柳州市体操学校、柳州市业余体育学校、柳州市第二业余体育学校。建成可容纳</w:t>
            </w:r>
            <w:r>
              <w:rPr>
                <w:rFonts w:ascii="Calibri" w:eastAsia="宋体" w:hAnsi="Calibri" w:cs="Times New Roman" w:hint="eastAsia"/>
                <w:sz w:val="21"/>
                <w:szCs w:val="21"/>
              </w:rPr>
              <w:t>1</w:t>
            </w:r>
            <w:r>
              <w:rPr>
                <w:rFonts w:ascii="Calibri" w:eastAsia="宋体" w:hAnsi="Calibri" w:cs="Times New Roman"/>
                <w:sz w:val="21"/>
                <w:szCs w:val="21"/>
              </w:rPr>
              <w:t>000</w:t>
            </w:r>
            <w:r>
              <w:rPr>
                <w:rFonts w:ascii="Calibri" w:eastAsia="宋体" w:hAnsi="Calibri" w:cs="Times New Roman" w:hint="eastAsia"/>
                <w:sz w:val="21"/>
                <w:szCs w:val="21"/>
              </w:rPr>
              <w:t>名学生训练、学习、生活的“三集中”式体校</w:t>
            </w:r>
          </w:p>
        </w:tc>
        <w:tc>
          <w:tcPr>
            <w:tcW w:w="925" w:type="dxa"/>
            <w:vAlign w:val="center"/>
          </w:tcPr>
          <w:p w14:paraId="1990819B"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80000</w:t>
            </w:r>
          </w:p>
        </w:tc>
        <w:tc>
          <w:tcPr>
            <w:tcW w:w="1171" w:type="dxa"/>
            <w:vAlign w:val="center"/>
          </w:tcPr>
          <w:p w14:paraId="57C8D127"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业主自筹</w:t>
            </w:r>
          </w:p>
          <w:p w14:paraId="4E0CA7B3"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财政资金</w:t>
            </w:r>
          </w:p>
        </w:tc>
        <w:tc>
          <w:tcPr>
            <w:tcW w:w="1026" w:type="dxa"/>
            <w:vAlign w:val="center"/>
          </w:tcPr>
          <w:p w14:paraId="568A5265"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2021-202</w:t>
            </w:r>
            <w:r>
              <w:rPr>
                <w:rFonts w:ascii="Calibri" w:eastAsia="宋体" w:hAnsi="Calibri" w:cs="Times New Roman"/>
                <w:sz w:val="21"/>
                <w:szCs w:val="21"/>
              </w:rPr>
              <w:t>5</w:t>
            </w:r>
          </w:p>
        </w:tc>
      </w:tr>
      <w:tr w:rsidR="008A5C83" w14:paraId="326DA8E4" w14:textId="77777777">
        <w:trPr>
          <w:trHeight w:val="1552"/>
          <w:jc w:val="center"/>
        </w:trPr>
        <w:tc>
          <w:tcPr>
            <w:tcW w:w="421" w:type="dxa"/>
            <w:vMerge/>
          </w:tcPr>
          <w:p w14:paraId="5DE03E29" w14:textId="77777777" w:rsidR="008A5C83" w:rsidRDefault="008A5C83">
            <w:pPr>
              <w:spacing w:line="240" w:lineRule="auto"/>
              <w:ind w:firstLineChars="0" w:firstLine="0"/>
              <w:jc w:val="center"/>
              <w:rPr>
                <w:rFonts w:ascii="Calibri" w:eastAsia="宋体" w:hAnsi="Calibri" w:cs="Times New Roman"/>
                <w:sz w:val="21"/>
                <w:szCs w:val="21"/>
              </w:rPr>
            </w:pPr>
          </w:p>
        </w:tc>
        <w:tc>
          <w:tcPr>
            <w:tcW w:w="567" w:type="dxa"/>
            <w:tcBorders>
              <w:bottom w:val="single" w:sz="4" w:space="0" w:color="auto"/>
            </w:tcBorders>
            <w:vAlign w:val="center"/>
          </w:tcPr>
          <w:p w14:paraId="7EBD8421"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8</w:t>
            </w:r>
          </w:p>
        </w:tc>
        <w:tc>
          <w:tcPr>
            <w:tcW w:w="1417" w:type="dxa"/>
            <w:tcBorders>
              <w:bottom w:val="single" w:sz="4" w:space="0" w:color="auto"/>
            </w:tcBorders>
            <w:vAlign w:val="center"/>
          </w:tcPr>
          <w:p w14:paraId="4782F301"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5</w:t>
            </w:r>
            <w:r>
              <w:rPr>
                <w:rFonts w:ascii="Calibri" w:eastAsia="宋体" w:hAnsi="Calibri" w:cs="Times New Roman" w:hint="eastAsia"/>
                <w:sz w:val="21"/>
                <w:szCs w:val="21"/>
              </w:rPr>
              <w:t>个县级全民健身中心</w:t>
            </w:r>
          </w:p>
        </w:tc>
        <w:tc>
          <w:tcPr>
            <w:tcW w:w="1276" w:type="dxa"/>
            <w:tcBorders>
              <w:bottom w:val="single" w:sz="4" w:space="0" w:color="auto"/>
            </w:tcBorders>
            <w:vAlign w:val="center"/>
          </w:tcPr>
          <w:p w14:paraId="05B14183"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鹿寨县、柳城县、融水县、融安县、三江县</w:t>
            </w:r>
          </w:p>
        </w:tc>
        <w:tc>
          <w:tcPr>
            <w:tcW w:w="850" w:type="dxa"/>
            <w:tcBorders>
              <w:bottom w:val="single" w:sz="4" w:space="0" w:color="auto"/>
            </w:tcBorders>
            <w:vAlign w:val="center"/>
          </w:tcPr>
          <w:p w14:paraId="7C2AF163"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 xml:space="preserve">　</w:t>
            </w:r>
          </w:p>
        </w:tc>
        <w:tc>
          <w:tcPr>
            <w:tcW w:w="5678" w:type="dxa"/>
            <w:tcBorders>
              <w:bottom w:val="single" w:sz="4" w:space="0" w:color="auto"/>
            </w:tcBorders>
            <w:vAlign w:val="center"/>
          </w:tcPr>
          <w:p w14:paraId="167B6904"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w:t>
            </w:r>
            <w:r>
              <w:rPr>
                <w:rFonts w:ascii="Calibri" w:eastAsia="宋体" w:hAnsi="Calibri" w:cs="Times New Roman"/>
                <w:sz w:val="21"/>
                <w:szCs w:val="21"/>
              </w:rPr>
              <w:t>1</w:t>
            </w:r>
            <w:r>
              <w:rPr>
                <w:rFonts w:ascii="Calibri" w:eastAsia="宋体" w:hAnsi="Calibri" w:cs="Times New Roman" w:hint="eastAsia"/>
                <w:sz w:val="21"/>
                <w:szCs w:val="21"/>
              </w:rPr>
              <w:t>年鹿寨县，柳城县、融安县，</w:t>
            </w:r>
            <w:r>
              <w:rPr>
                <w:rFonts w:ascii="Calibri" w:eastAsia="宋体" w:hAnsi="Calibri" w:cs="Times New Roman" w:hint="eastAsia"/>
                <w:sz w:val="21"/>
                <w:szCs w:val="21"/>
              </w:rPr>
              <w:t>2022</w:t>
            </w:r>
            <w:r>
              <w:rPr>
                <w:rFonts w:ascii="Calibri" w:eastAsia="宋体" w:hAnsi="Calibri" w:cs="Times New Roman" w:hint="eastAsia"/>
                <w:sz w:val="21"/>
                <w:szCs w:val="21"/>
              </w:rPr>
              <w:t>年融水县、三江县</w:t>
            </w:r>
          </w:p>
        </w:tc>
        <w:tc>
          <w:tcPr>
            <w:tcW w:w="925" w:type="dxa"/>
            <w:tcBorders>
              <w:bottom w:val="single" w:sz="4" w:space="0" w:color="auto"/>
            </w:tcBorders>
            <w:vAlign w:val="center"/>
          </w:tcPr>
          <w:p w14:paraId="17787049"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50000</w:t>
            </w:r>
          </w:p>
        </w:tc>
        <w:tc>
          <w:tcPr>
            <w:tcW w:w="1171" w:type="dxa"/>
            <w:tcBorders>
              <w:bottom w:val="single" w:sz="4" w:space="0" w:color="auto"/>
            </w:tcBorders>
            <w:vAlign w:val="center"/>
          </w:tcPr>
          <w:p w14:paraId="02784BFB"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业主自筹</w:t>
            </w:r>
          </w:p>
          <w:p w14:paraId="5C079D25"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财政资金</w:t>
            </w:r>
          </w:p>
        </w:tc>
        <w:tc>
          <w:tcPr>
            <w:tcW w:w="1026" w:type="dxa"/>
            <w:tcBorders>
              <w:bottom w:val="single" w:sz="4" w:space="0" w:color="auto"/>
            </w:tcBorders>
            <w:vAlign w:val="center"/>
          </w:tcPr>
          <w:p w14:paraId="2B2480CB"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w:t>
            </w:r>
            <w:r>
              <w:rPr>
                <w:rFonts w:ascii="Calibri" w:eastAsia="宋体" w:hAnsi="Calibri" w:cs="Times New Roman"/>
                <w:sz w:val="21"/>
                <w:szCs w:val="21"/>
              </w:rPr>
              <w:t>1</w:t>
            </w:r>
            <w:r>
              <w:rPr>
                <w:rFonts w:ascii="Calibri" w:eastAsia="宋体" w:hAnsi="Calibri" w:cs="Times New Roman" w:hint="eastAsia"/>
                <w:sz w:val="21"/>
                <w:szCs w:val="21"/>
              </w:rPr>
              <w:t>-2022</w:t>
            </w:r>
          </w:p>
        </w:tc>
      </w:tr>
      <w:tr w:rsidR="008A5C83" w14:paraId="4978BB84" w14:textId="77777777">
        <w:trPr>
          <w:trHeight w:val="1765"/>
          <w:jc w:val="center"/>
        </w:trPr>
        <w:tc>
          <w:tcPr>
            <w:tcW w:w="421" w:type="dxa"/>
            <w:vMerge/>
          </w:tcPr>
          <w:p w14:paraId="33F4EEB2" w14:textId="77777777" w:rsidR="008A5C83" w:rsidRDefault="008A5C83">
            <w:pPr>
              <w:spacing w:line="240" w:lineRule="auto"/>
              <w:ind w:firstLineChars="0" w:firstLine="0"/>
              <w:jc w:val="center"/>
              <w:rPr>
                <w:rFonts w:ascii="Calibri" w:eastAsia="宋体" w:hAnsi="Calibri" w:cs="Times New Roman"/>
                <w:sz w:val="21"/>
                <w:szCs w:val="21"/>
              </w:rPr>
            </w:pPr>
          </w:p>
        </w:tc>
        <w:tc>
          <w:tcPr>
            <w:tcW w:w="567" w:type="dxa"/>
            <w:tcBorders>
              <w:top w:val="single" w:sz="4" w:space="0" w:color="auto"/>
              <w:bottom w:val="single" w:sz="4" w:space="0" w:color="auto"/>
            </w:tcBorders>
            <w:vAlign w:val="center"/>
          </w:tcPr>
          <w:p w14:paraId="56760186"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9</w:t>
            </w:r>
          </w:p>
        </w:tc>
        <w:tc>
          <w:tcPr>
            <w:tcW w:w="1417" w:type="dxa"/>
            <w:tcBorders>
              <w:top w:val="single" w:sz="4" w:space="0" w:color="auto"/>
              <w:bottom w:val="single" w:sz="4" w:space="0" w:color="auto"/>
            </w:tcBorders>
          </w:tcPr>
          <w:p w14:paraId="082549E0" w14:textId="77777777" w:rsidR="008A5C83" w:rsidRDefault="00A7141B">
            <w:pPr>
              <w:widowControl/>
              <w:spacing w:line="240" w:lineRule="auto"/>
              <w:ind w:firstLineChars="0" w:firstLine="0"/>
              <w:jc w:val="center"/>
              <w:rPr>
                <w:rFonts w:ascii="Calibri" w:eastAsia="宋体" w:hAnsi="Calibri" w:cs="Times New Roman"/>
                <w:sz w:val="21"/>
                <w:szCs w:val="21"/>
              </w:rPr>
            </w:pPr>
            <w:proofErr w:type="gramStart"/>
            <w:r>
              <w:rPr>
                <w:rFonts w:ascii="Calibri" w:eastAsia="宋体" w:hAnsi="Calibri" w:cs="Times New Roman" w:hint="eastAsia"/>
                <w:sz w:val="21"/>
                <w:szCs w:val="21"/>
              </w:rPr>
              <w:t>鱼峰区体育园</w:t>
            </w:r>
            <w:proofErr w:type="gramEnd"/>
          </w:p>
        </w:tc>
        <w:tc>
          <w:tcPr>
            <w:tcW w:w="1276" w:type="dxa"/>
            <w:tcBorders>
              <w:top w:val="single" w:sz="4" w:space="0" w:color="auto"/>
              <w:bottom w:val="single" w:sz="4" w:space="0" w:color="auto"/>
            </w:tcBorders>
          </w:tcPr>
          <w:p w14:paraId="198FC1D6" w14:textId="77777777" w:rsidR="008A5C83" w:rsidRDefault="00A7141B">
            <w:pPr>
              <w:widowControl/>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燎原路东片区</w:t>
            </w:r>
          </w:p>
        </w:tc>
        <w:tc>
          <w:tcPr>
            <w:tcW w:w="850" w:type="dxa"/>
            <w:tcBorders>
              <w:top w:val="single" w:sz="4" w:space="0" w:color="auto"/>
              <w:bottom w:val="single" w:sz="4" w:space="0" w:color="auto"/>
            </w:tcBorders>
          </w:tcPr>
          <w:p w14:paraId="3B0BEFB5" w14:textId="77777777" w:rsidR="008A5C83" w:rsidRDefault="00A7141B">
            <w:pPr>
              <w:widowControl/>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城建集团</w:t>
            </w:r>
          </w:p>
        </w:tc>
        <w:tc>
          <w:tcPr>
            <w:tcW w:w="5678" w:type="dxa"/>
            <w:tcBorders>
              <w:top w:val="single" w:sz="4" w:space="0" w:color="auto"/>
              <w:bottom w:val="single" w:sz="4" w:space="0" w:color="auto"/>
            </w:tcBorders>
          </w:tcPr>
          <w:p w14:paraId="53F7B8BC" w14:textId="77777777" w:rsidR="008A5C83" w:rsidRDefault="00A7141B">
            <w:pPr>
              <w:widowControl/>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地块总用地面积约</w:t>
            </w:r>
            <w:r>
              <w:rPr>
                <w:rFonts w:ascii="Calibri" w:eastAsia="宋体" w:hAnsi="Calibri" w:cs="Times New Roman" w:hint="eastAsia"/>
                <w:sz w:val="21"/>
                <w:szCs w:val="21"/>
              </w:rPr>
              <w:t>94764.09</w:t>
            </w:r>
            <w:r>
              <w:rPr>
                <w:rFonts w:ascii="Calibri" w:eastAsia="宋体" w:hAnsi="Calibri" w:cs="Times New Roman" w:hint="eastAsia"/>
                <w:sz w:val="21"/>
                <w:szCs w:val="21"/>
              </w:rPr>
              <w:t>平方米</w:t>
            </w:r>
            <w:r>
              <w:rPr>
                <w:rFonts w:ascii="Calibri" w:eastAsia="宋体" w:hAnsi="Calibri" w:cs="Times New Roman" w:hint="eastAsia"/>
                <w:sz w:val="21"/>
                <w:szCs w:val="21"/>
              </w:rPr>
              <w:t>(142.15</w:t>
            </w:r>
            <w:r>
              <w:rPr>
                <w:rFonts w:ascii="Calibri" w:eastAsia="宋体" w:hAnsi="Calibri" w:cs="Times New Roman" w:hint="eastAsia"/>
                <w:sz w:val="21"/>
                <w:szCs w:val="21"/>
              </w:rPr>
              <w:t>亩</w:t>
            </w:r>
            <w:r>
              <w:rPr>
                <w:rFonts w:ascii="Calibri" w:eastAsia="宋体" w:hAnsi="Calibri" w:cs="Times New Roman" w:hint="eastAsia"/>
                <w:sz w:val="21"/>
                <w:szCs w:val="21"/>
              </w:rPr>
              <w:t>)</w:t>
            </w:r>
            <w:r>
              <w:rPr>
                <w:rFonts w:ascii="Calibri" w:eastAsia="宋体" w:hAnsi="Calibri" w:cs="Times New Roman" w:hint="eastAsia"/>
                <w:sz w:val="21"/>
                <w:szCs w:val="21"/>
              </w:rPr>
              <w:t>总建筑面积约</w:t>
            </w:r>
            <w:r>
              <w:rPr>
                <w:rFonts w:ascii="Calibri" w:eastAsia="宋体" w:hAnsi="Calibri" w:cs="Times New Roman" w:hint="eastAsia"/>
                <w:sz w:val="21"/>
                <w:szCs w:val="21"/>
              </w:rPr>
              <w:t>12</w:t>
            </w:r>
            <w:r>
              <w:rPr>
                <w:rFonts w:ascii="Calibri" w:eastAsia="宋体" w:hAnsi="Calibri" w:cs="Times New Roman" w:hint="eastAsia"/>
                <w:sz w:val="21"/>
                <w:szCs w:val="21"/>
              </w:rPr>
              <w:t>万平方米（含地下室</w:t>
            </w:r>
            <w:r>
              <w:rPr>
                <w:rFonts w:ascii="Calibri" w:eastAsia="宋体" w:hAnsi="Calibri" w:cs="Times New Roman" w:hint="eastAsia"/>
                <w:sz w:val="21"/>
                <w:szCs w:val="21"/>
              </w:rPr>
              <w:t>)</w:t>
            </w:r>
            <w:r>
              <w:rPr>
                <w:rFonts w:ascii="Calibri" w:eastAsia="宋体" w:hAnsi="Calibri" w:cs="Times New Roman" w:hint="eastAsia"/>
                <w:sz w:val="21"/>
                <w:szCs w:val="21"/>
              </w:rPr>
              <w:t>，分两期建设。主要建设内容为</w:t>
            </w:r>
            <w:r>
              <w:rPr>
                <w:rFonts w:ascii="Calibri" w:eastAsia="宋体" w:hAnsi="Calibri" w:cs="Times New Roman" w:hint="eastAsia"/>
                <w:sz w:val="21"/>
                <w:szCs w:val="21"/>
              </w:rPr>
              <w:t>:</w:t>
            </w:r>
            <w:proofErr w:type="gramStart"/>
            <w:r>
              <w:rPr>
                <w:rFonts w:ascii="Calibri" w:eastAsia="宋体" w:hAnsi="Calibri" w:cs="Times New Roman" w:hint="eastAsia"/>
                <w:sz w:val="21"/>
                <w:szCs w:val="21"/>
              </w:rPr>
              <w:t>体育园部分建设五馆</w:t>
            </w:r>
            <w:proofErr w:type="gramEnd"/>
            <w:r>
              <w:rPr>
                <w:rFonts w:ascii="Calibri" w:eastAsia="宋体" w:hAnsi="Calibri" w:cs="Times New Roman" w:hint="eastAsia"/>
                <w:sz w:val="21"/>
                <w:szCs w:val="21"/>
              </w:rPr>
              <w:t>四场，</w:t>
            </w:r>
            <w:proofErr w:type="gramStart"/>
            <w:r>
              <w:rPr>
                <w:rFonts w:ascii="Calibri" w:eastAsia="宋体" w:hAnsi="Calibri" w:cs="Times New Roman" w:hint="eastAsia"/>
                <w:sz w:val="21"/>
                <w:szCs w:val="21"/>
              </w:rPr>
              <w:t>五馆包括</w:t>
            </w:r>
            <w:proofErr w:type="gramEnd"/>
            <w:r>
              <w:rPr>
                <w:rFonts w:ascii="Calibri" w:eastAsia="宋体" w:hAnsi="Calibri" w:cs="Times New Roman" w:hint="eastAsia"/>
                <w:sz w:val="21"/>
                <w:szCs w:val="21"/>
              </w:rPr>
              <w:t>游泳馆、篮球馆、气排球</w:t>
            </w:r>
            <w:r>
              <w:rPr>
                <w:rFonts w:ascii="Calibri" w:eastAsia="宋体" w:hAnsi="Calibri" w:cs="Times New Roman" w:hint="eastAsia"/>
                <w:sz w:val="21"/>
                <w:szCs w:val="21"/>
              </w:rPr>
              <w:lastRenderedPageBreak/>
              <w:t>馆、羽毛球馆、乒乓球馆，室外四场包括篮球场、足球场、网球场、门球场等</w:t>
            </w:r>
          </w:p>
        </w:tc>
        <w:tc>
          <w:tcPr>
            <w:tcW w:w="925" w:type="dxa"/>
            <w:tcBorders>
              <w:top w:val="single" w:sz="4" w:space="0" w:color="auto"/>
              <w:bottom w:val="single" w:sz="4" w:space="0" w:color="auto"/>
            </w:tcBorders>
          </w:tcPr>
          <w:p w14:paraId="6176F729" w14:textId="77777777" w:rsidR="008A5C83" w:rsidRDefault="00A7141B">
            <w:pPr>
              <w:widowControl/>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lastRenderedPageBreak/>
              <w:t>54000</w:t>
            </w:r>
          </w:p>
        </w:tc>
        <w:tc>
          <w:tcPr>
            <w:tcW w:w="1171" w:type="dxa"/>
            <w:tcBorders>
              <w:top w:val="single" w:sz="4" w:space="0" w:color="auto"/>
              <w:bottom w:val="single" w:sz="4" w:space="0" w:color="auto"/>
            </w:tcBorders>
          </w:tcPr>
          <w:p w14:paraId="2BF4CB32" w14:textId="77777777" w:rsidR="008A5C83" w:rsidRDefault="00A7141B">
            <w:pPr>
              <w:widowControl/>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业主自筹</w:t>
            </w:r>
          </w:p>
          <w:p w14:paraId="6923F4D5" w14:textId="77777777" w:rsidR="008A5C83" w:rsidRDefault="00A7141B">
            <w:pPr>
              <w:widowControl/>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财政资金</w:t>
            </w:r>
          </w:p>
        </w:tc>
        <w:tc>
          <w:tcPr>
            <w:tcW w:w="1026" w:type="dxa"/>
            <w:tcBorders>
              <w:top w:val="single" w:sz="4" w:space="0" w:color="auto"/>
              <w:bottom w:val="single" w:sz="4" w:space="0" w:color="auto"/>
            </w:tcBorders>
          </w:tcPr>
          <w:p w14:paraId="23748E03" w14:textId="77777777" w:rsidR="008A5C83" w:rsidRDefault="00A7141B">
            <w:pPr>
              <w:widowControl/>
              <w:spacing w:line="240" w:lineRule="auto"/>
              <w:ind w:firstLineChars="0" w:firstLine="0"/>
              <w:jc w:val="center"/>
              <w:rPr>
                <w:rFonts w:ascii="Calibri" w:eastAsia="宋体" w:hAnsi="Calibri" w:cs="Times New Roman"/>
                <w:sz w:val="21"/>
                <w:szCs w:val="21"/>
              </w:rPr>
            </w:pPr>
            <w:r>
              <w:rPr>
                <w:rFonts w:ascii="Calibri" w:eastAsia="宋体" w:hAnsi="Calibri" w:cs="Times New Roman"/>
                <w:sz w:val="21"/>
                <w:szCs w:val="21"/>
              </w:rPr>
              <w:t>2021-2023</w:t>
            </w:r>
          </w:p>
        </w:tc>
      </w:tr>
      <w:tr w:rsidR="008A5C83" w14:paraId="126F673A" w14:textId="77777777">
        <w:trPr>
          <w:trHeight w:val="127"/>
          <w:jc w:val="center"/>
        </w:trPr>
        <w:tc>
          <w:tcPr>
            <w:tcW w:w="421" w:type="dxa"/>
            <w:vMerge/>
          </w:tcPr>
          <w:p w14:paraId="37BE9A29" w14:textId="77777777" w:rsidR="008A5C83" w:rsidRDefault="008A5C83">
            <w:pPr>
              <w:spacing w:line="240" w:lineRule="auto"/>
              <w:ind w:firstLineChars="0" w:firstLine="0"/>
              <w:jc w:val="center"/>
              <w:rPr>
                <w:rFonts w:ascii="Calibri" w:eastAsia="宋体" w:hAnsi="Calibri" w:cs="Times New Roman"/>
                <w:sz w:val="21"/>
                <w:szCs w:val="21"/>
              </w:rPr>
            </w:pPr>
          </w:p>
        </w:tc>
        <w:tc>
          <w:tcPr>
            <w:tcW w:w="567" w:type="dxa"/>
            <w:tcBorders>
              <w:top w:val="single" w:sz="4" w:space="0" w:color="auto"/>
            </w:tcBorders>
            <w:vAlign w:val="center"/>
          </w:tcPr>
          <w:p w14:paraId="262CDD41"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sz w:val="21"/>
                <w:szCs w:val="21"/>
              </w:rPr>
              <w:t>10</w:t>
            </w:r>
          </w:p>
        </w:tc>
        <w:tc>
          <w:tcPr>
            <w:tcW w:w="1417" w:type="dxa"/>
            <w:tcBorders>
              <w:top w:val="single" w:sz="4" w:space="0" w:color="auto"/>
            </w:tcBorders>
            <w:vAlign w:val="center"/>
          </w:tcPr>
          <w:p w14:paraId="2230CF98"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融安河西</w:t>
            </w:r>
            <w:proofErr w:type="gramStart"/>
            <w:r>
              <w:rPr>
                <w:rFonts w:ascii="Calibri" w:eastAsia="宋体" w:hAnsi="Calibri" w:cs="Times New Roman" w:hint="eastAsia"/>
                <w:sz w:val="21"/>
                <w:szCs w:val="21"/>
              </w:rPr>
              <w:t>体育园</w:t>
            </w:r>
            <w:proofErr w:type="gramEnd"/>
          </w:p>
        </w:tc>
        <w:tc>
          <w:tcPr>
            <w:tcW w:w="1276" w:type="dxa"/>
            <w:tcBorders>
              <w:top w:val="single" w:sz="4" w:space="0" w:color="auto"/>
            </w:tcBorders>
            <w:vAlign w:val="center"/>
          </w:tcPr>
          <w:p w14:paraId="4598D0E9"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融安县长安镇</w:t>
            </w:r>
          </w:p>
        </w:tc>
        <w:tc>
          <w:tcPr>
            <w:tcW w:w="850" w:type="dxa"/>
            <w:tcBorders>
              <w:top w:val="single" w:sz="4" w:space="0" w:color="auto"/>
            </w:tcBorders>
            <w:vAlign w:val="center"/>
          </w:tcPr>
          <w:p w14:paraId="12935A8E" w14:textId="77777777" w:rsidR="008A5C83" w:rsidRDefault="008A5C83">
            <w:pPr>
              <w:spacing w:line="240" w:lineRule="auto"/>
              <w:ind w:firstLineChars="0" w:firstLine="0"/>
              <w:jc w:val="center"/>
              <w:rPr>
                <w:rFonts w:ascii="Calibri" w:eastAsia="宋体" w:hAnsi="Calibri" w:cs="Times New Roman"/>
                <w:sz w:val="21"/>
                <w:szCs w:val="21"/>
              </w:rPr>
            </w:pPr>
          </w:p>
        </w:tc>
        <w:tc>
          <w:tcPr>
            <w:tcW w:w="5678" w:type="dxa"/>
            <w:tcBorders>
              <w:top w:val="single" w:sz="4" w:space="0" w:color="auto"/>
            </w:tcBorders>
            <w:vAlign w:val="center"/>
          </w:tcPr>
          <w:p w14:paraId="3A05C03E"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融安河西</w:t>
            </w:r>
            <w:proofErr w:type="gramStart"/>
            <w:r>
              <w:rPr>
                <w:rFonts w:ascii="Calibri" w:eastAsia="宋体" w:hAnsi="Calibri" w:cs="Times New Roman" w:hint="eastAsia"/>
                <w:sz w:val="21"/>
                <w:szCs w:val="21"/>
              </w:rPr>
              <w:t>体育园</w:t>
            </w:r>
            <w:proofErr w:type="gramEnd"/>
            <w:r>
              <w:rPr>
                <w:rFonts w:ascii="Calibri" w:eastAsia="宋体" w:hAnsi="Calibri" w:cs="Times New Roman" w:hint="eastAsia"/>
                <w:sz w:val="21"/>
                <w:szCs w:val="21"/>
              </w:rPr>
              <w:t>为体育综合体，占地</w:t>
            </w:r>
            <w:r>
              <w:rPr>
                <w:rFonts w:ascii="Calibri" w:eastAsia="宋体" w:hAnsi="Calibri" w:cs="Times New Roman" w:hint="eastAsia"/>
                <w:sz w:val="21"/>
                <w:szCs w:val="21"/>
              </w:rPr>
              <w:t>150</w:t>
            </w:r>
            <w:r>
              <w:rPr>
                <w:rFonts w:ascii="Calibri" w:eastAsia="宋体" w:hAnsi="Calibri" w:cs="Times New Roman" w:hint="eastAsia"/>
                <w:sz w:val="21"/>
                <w:szCs w:val="21"/>
              </w:rPr>
              <w:t>亩，建体育室内馆（含篮球场、游泳室、羽毛球场）、室外场（含篮球场、足球场、网球场等）、休闲步道、绿地等。</w:t>
            </w:r>
          </w:p>
        </w:tc>
        <w:tc>
          <w:tcPr>
            <w:tcW w:w="925" w:type="dxa"/>
            <w:tcBorders>
              <w:top w:val="single" w:sz="4" w:space="0" w:color="auto"/>
            </w:tcBorders>
            <w:vAlign w:val="center"/>
          </w:tcPr>
          <w:p w14:paraId="09ACEF61"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sz w:val="21"/>
                <w:szCs w:val="21"/>
              </w:rPr>
              <w:t>43566</w:t>
            </w:r>
          </w:p>
        </w:tc>
        <w:tc>
          <w:tcPr>
            <w:tcW w:w="1171" w:type="dxa"/>
            <w:tcBorders>
              <w:top w:val="single" w:sz="4" w:space="0" w:color="auto"/>
            </w:tcBorders>
            <w:vAlign w:val="center"/>
          </w:tcPr>
          <w:p w14:paraId="4A682272"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业主自筹及上级资金</w:t>
            </w:r>
          </w:p>
        </w:tc>
        <w:tc>
          <w:tcPr>
            <w:tcW w:w="1026" w:type="dxa"/>
            <w:tcBorders>
              <w:top w:val="single" w:sz="4" w:space="0" w:color="auto"/>
            </w:tcBorders>
            <w:vAlign w:val="center"/>
          </w:tcPr>
          <w:p w14:paraId="17FE50D3"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2021-2022</w:t>
            </w:r>
          </w:p>
        </w:tc>
      </w:tr>
      <w:tr w:rsidR="008A5C83" w14:paraId="6AB381C9" w14:textId="77777777">
        <w:trPr>
          <w:trHeight w:val="916"/>
          <w:jc w:val="center"/>
        </w:trPr>
        <w:tc>
          <w:tcPr>
            <w:tcW w:w="421" w:type="dxa"/>
            <w:vMerge/>
          </w:tcPr>
          <w:p w14:paraId="56D7D4DD" w14:textId="77777777" w:rsidR="008A5C83" w:rsidRDefault="008A5C83">
            <w:pPr>
              <w:spacing w:line="240" w:lineRule="auto"/>
              <w:ind w:firstLineChars="0" w:firstLine="0"/>
              <w:jc w:val="center"/>
              <w:rPr>
                <w:rFonts w:ascii="Calibri" w:eastAsia="宋体" w:hAnsi="Calibri" w:cs="Times New Roman"/>
                <w:sz w:val="21"/>
                <w:szCs w:val="21"/>
              </w:rPr>
            </w:pPr>
          </w:p>
        </w:tc>
        <w:tc>
          <w:tcPr>
            <w:tcW w:w="567" w:type="dxa"/>
            <w:vAlign w:val="center"/>
          </w:tcPr>
          <w:p w14:paraId="310E165A"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sz w:val="21"/>
                <w:szCs w:val="21"/>
              </w:rPr>
              <w:t>11</w:t>
            </w:r>
          </w:p>
        </w:tc>
        <w:tc>
          <w:tcPr>
            <w:tcW w:w="1417" w:type="dxa"/>
            <w:vAlign w:val="center"/>
          </w:tcPr>
          <w:p w14:paraId="047C3C09"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融安县红</w:t>
            </w:r>
            <w:proofErr w:type="gramStart"/>
            <w:r>
              <w:rPr>
                <w:rFonts w:ascii="Calibri" w:eastAsia="宋体" w:hAnsi="Calibri" w:cs="Times New Roman" w:hint="eastAsia"/>
                <w:sz w:val="21"/>
                <w:szCs w:val="21"/>
              </w:rPr>
              <w:t>卫体育</w:t>
            </w:r>
            <w:proofErr w:type="gramEnd"/>
            <w:r>
              <w:rPr>
                <w:rFonts w:ascii="Calibri" w:eastAsia="宋体" w:hAnsi="Calibri" w:cs="Times New Roman" w:hint="eastAsia"/>
                <w:sz w:val="21"/>
                <w:szCs w:val="21"/>
              </w:rPr>
              <w:t>中心</w:t>
            </w:r>
          </w:p>
        </w:tc>
        <w:tc>
          <w:tcPr>
            <w:tcW w:w="1276" w:type="dxa"/>
            <w:vAlign w:val="center"/>
          </w:tcPr>
          <w:p w14:paraId="2D17E7BB"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融安县</w:t>
            </w:r>
          </w:p>
        </w:tc>
        <w:tc>
          <w:tcPr>
            <w:tcW w:w="850" w:type="dxa"/>
            <w:vAlign w:val="center"/>
          </w:tcPr>
          <w:p w14:paraId="0921CF32"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 xml:space="preserve">　</w:t>
            </w:r>
          </w:p>
        </w:tc>
        <w:tc>
          <w:tcPr>
            <w:tcW w:w="5678" w:type="dxa"/>
            <w:vAlign w:val="center"/>
          </w:tcPr>
          <w:p w14:paraId="711677F8"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建设不少于</w:t>
            </w:r>
            <w:r>
              <w:rPr>
                <w:rFonts w:ascii="Calibri" w:eastAsia="宋体" w:hAnsi="Calibri" w:cs="Times New Roman" w:hint="eastAsia"/>
                <w:sz w:val="21"/>
                <w:szCs w:val="21"/>
              </w:rPr>
              <w:t>7</w:t>
            </w:r>
            <w:r>
              <w:rPr>
                <w:rFonts w:ascii="Calibri" w:eastAsia="宋体" w:hAnsi="Calibri" w:cs="Times New Roman" w:hint="eastAsia"/>
                <w:sz w:val="21"/>
                <w:szCs w:val="21"/>
              </w:rPr>
              <w:t>片可套用室内外场地设施，开展不少于</w:t>
            </w:r>
            <w:r>
              <w:rPr>
                <w:rFonts w:ascii="Calibri" w:eastAsia="宋体" w:hAnsi="Calibri" w:cs="Times New Roman" w:hint="eastAsia"/>
                <w:sz w:val="21"/>
                <w:szCs w:val="21"/>
              </w:rPr>
              <w:t>8</w:t>
            </w:r>
            <w:r>
              <w:rPr>
                <w:rFonts w:ascii="Calibri" w:eastAsia="宋体" w:hAnsi="Calibri" w:cs="Times New Roman" w:hint="eastAsia"/>
                <w:sz w:val="21"/>
                <w:szCs w:val="21"/>
              </w:rPr>
              <w:t>项体育活动项目，不少于</w:t>
            </w:r>
            <w:r>
              <w:rPr>
                <w:rFonts w:ascii="Calibri" w:eastAsia="宋体" w:hAnsi="Calibri" w:cs="Times New Roman" w:hint="eastAsia"/>
                <w:sz w:val="21"/>
                <w:szCs w:val="21"/>
              </w:rPr>
              <w:t>2</w:t>
            </w:r>
            <w:r>
              <w:rPr>
                <w:rFonts w:ascii="Calibri" w:eastAsia="宋体" w:hAnsi="Calibri" w:cs="Times New Roman" w:hint="eastAsia"/>
                <w:sz w:val="21"/>
                <w:szCs w:val="21"/>
              </w:rPr>
              <w:t>项民族特色体育活动，</w:t>
            </w:r>
            <w:r>
              <w:rPr>
                <w:rFonts w:ascii="Calibri" w:eastAsia="宋体" w:hAnsi="Calibri" w:cs="Times New Roman" w:hint="eastAsia"/>
                <w:sz w:val="21"/>
                <w:szCs w:val="21"/>
              </w:rPr>
              <w:t>6</w:t>
            </w:r>
            <w:r>
              <w:rPr>
                <w:rFonts w:ascii="Calibri" w:eastAsia="宋体" w:hAnsi="Calibri" w:cs="Times New Roman" w:hint="eastAsia"/>
                <w:sz w:val="21"/>
                <w:szCs w:val="21"/>
              </w:rPr>
              <w:t>片</w:t>
            </w:r>
            <w:r>
              <w:rPr>
                <w:rFonts w:ascii="Calibri" w:eastAsia="宋体" w:hAnsi="Calibri" w:cs="Times New Roman" w:hint="eastAsia"/>
                <w:sz w:val="21"/>
                <w:szCs w:val="21"/>
              </w:rPr>
              <w:t xml:space="preserve">5 </w:t>
            </w:r>
            <w:proofErr w:type="gramStart"/>
            <w:r>
              <w:rPr>
                <w:rFonts w:ascii="Calibri" w:eastAsia="宋体" w:hAnsi="Calibri" w:cs="Times New Roman" w:hint="eastAsia"/>
                <w:sz w:val="21"/>
                <w:szCs w:val="21"/>
              </w:rPr>
              <w:t>人制</w:t>
            </w:r>
            <w:proofErr w:type="gramEnd"/>
            <w:r>
              <w:rPr>
                <w:rFonts w:ascii="Calibri" w:eastAsia="宋体" w:hAnsi="Calibri" w:cs="Times New Roman" w:hint="eastAsia"/>
                <w:sz w:val="21"/>
                <w:szCs w:val="21"/>
              </w:rPr>
              <w:t>足球场、</w:t>
            </w:r>
            <w:r>
              <w:rPr>
                <w:rFonts w:ascii="Calibri" w:eastAsia="宋体" w:hAnsi="Calibri" w:cs="Times New Roman" w:hint="eastAsia"/>
                <w:sz w:val="21"/>
                <w:szCs w:val="21"/>
              </w:rPr>
              <w:t>6</w:t>
            </w:r>
            <w:r>
              <w:rPr>
                <w:rFonts w:ascii="Calibri" w:eastAsia="宋体" w:hAnsi="Calibri" w:cs="Times New Roman" w:hint="eastAsia"/>
                <w:sz w:val="21"/>
                <w:szCs w:val="21"/>
              </w:rPr>
              <w:t>片</w:t>
            </w:r>
            <w:r>
              <w:rPr>
                <w:rFonts w:ascii="Calibri" w:eastAsia="宋体" w:hAnsi="Calibri" w:cs="Times New Roman" w:hint="eastAsia"/>
                <w:sz w:val="21"/>
                <w:szCs w:val="21"/>
              </w:rPr>
              <w:t>3</w:t>
            </w:r>
            <w:proofErr w:type="gramStart"/>
            <w:r>
              <w:rPr>
                <w:rFonts w:ascii="Calibri" w:eastAsia="宋体" w:hAnsi="Calibri" w:cs="Times New Roman" w:hint="eastAsia"/>
                <w:sz w:val="21"/>
                <w:szCs w:val="21"/>
              </w:rPr>
              <w:t>人制</w:t>
            </w:r>
            <w:proofErr w:type="gramEnd"/>
            <w:r>
              <w:rPr>
                <w:rFonts w:ascii="Calibri" w:eastAsia="宋体" w:hAnsi="Calibri" w:cs="Times New Roman" w:hint="eastAsia"/>
                <w:sz w:val="21"/>
                <w:szCs w:val="21"/>
              </w:rPr>
              <w:t>足球场。</w:t>
            </w:r>
          </w:p>
        </w:tc>
        <w:tc>
          <w:tcPr>
            <w:tcW w:w="925" w:type="dxa"/>
            <w:vAlign w:val="center"/>
          </w:tcPr>
          <w:p w14:paraId="060557E3"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10000</w:t>
            </w:r>
          </w:p>
        </w:tc>
        <w:tc>
          <w:tcPr>
            <w:tcW w:w="1171" w:type="dxa"/>
            <w:vAlign w:val="center"/>
          </w:tcPr>
          <w:p w14:paraId="16095D6F"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业主自筹</w:t>
            </w:r>
          </w:p>
        </w:tc>
        <w:tc>
          <w:tcPr>
            <w:tcW w:w="1026" w:type="dxa"/>
            <w:vAlign w:val="center"/>
          </w:tcPr>
          <w:p w14:paraId="0052271F"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2021-2023</w:t>
            </w:r>
          </w:p>
        </w:tc>
      </w:tr>
      <w:tr w:rsidR="008A5C83" w14:paraId="1A2789B1" w14:textId="77777777">
        <w:trPr>
          <w:trHeight w:val="1350"/>
          <w:jc w:val="center"/>
        </w:trPr>
        <w:tc>
          <w:tcPr>
            <w:tcW w:w="421" w:type="dxa"/>
            <w:vMerge/>
          </w:tcPr>
          <w:p w14:paraId="0386FEB3" w14:textId="77777777" w:rsidR="008A5C83" w:rsidRDefault="008A5C83">
            <w:pPr>
              <w:spacing w:line="240" w:lineRule="auto"/>
              <w:ind w:firstLineChars="0" w:firstLine="0"/>
              <w:jc w:val="center"/>
              <w:rPr>
                <w:rFonts w:ascii="Calibri" w:eastAsia="宋体" w:hAnsi="Calibri" w:cs="Times New Roman"/>
                <w:sz w:val="21"/>
                <w:szCs w:val="21"/>
              </w:rPr>
            </w:pPr>
          </w:p>
        </w:tc>
        <w:tc>
          <w:tcPr>
            <w:tcW w:w="567" w:type="dxa"/>
            <w:tcBorders>
              <w:bottom w:val="single" w:sz="4" w:space="0" w:color="auto"/>
            </w:tcBorders>
            <w:vAlign w:val="center"/>
          </w:tcPr>
          <w:p w14:paraId="6CE5D27F"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1</w:t>
            </w:r>
            <w:r>
              <w:rPr>
                <w:rFonts w:ascii="Calibri" w:eastAsia="宋体" w:hAnsi="Calibri" w:cs="Times New Roman"/>
                <w:sz w:val="21"/>
                <w:szCs w:val="21"/>
              </w:rPr>
              <w:t>2</w:t>
            </w:r>
          </w:p>
        </w:tc>
        <w:tc>
          <w:tcPr>
            <w:tcW w:w="1417" w:type="dxa"/>
            <w:tcBorders>
              <w:bottom w:val="single" w:sz="4" w:space="0" w:color="auto"/>
            </w:tcBorders>
            <w:vAlign w:val="center"/>
          </w:tcPr>
          <w:p w14:paraId="47C93830"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融安县浮石体育中心</w:t>
            </w:r>
          </w:p>
        </w:tc>
        <w:tc>
          <w:tcPr>
            <w:tcW w:w="1276" w:type="dxa"/>
            <w:tcBorders>
              <w:bottom w:val="single" w:sz="4" w:space="0" w:color="auto"/>
            </w:tcBorders>
            <w:vAlign w:val="center"/>
          </w:tcPr>
          <w:p w14:paraId="0D7D7291"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融安县</w:t>
            </w:r>
          </w:p>
        </w:tc>
        <w:tc>
          <w:tcPr>
            <w:tcW w:w="850" w:type="dxa"/>
            <w:tcBorders>
              <w:bottom w:val="single" w:sz="4" w:space="0" w:color="auto"/>
            </w:tcBorders>
            <w:vAlign w:val="center"/>
          </w:tcPr>
          <w:p w14:paraId="20A0D216"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 xml:space="preserve">　</w:t>
            </w:r>
          </w:p>
        </w:tc>
        <w:tc>
          <w:tcPr>
            <w:tcW w:w="5678" w:type="dxa"/>
            <w:tcBorders>
              <w:bottom w:val="single" w:sz="4" w:space="0" w:color="auto"/>
            </w:tcBorders>
            <w:vAlign w:val="center"/>
          </w:tcPr>
          <w:p w14:paraId="54A84C50"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主要建设体育馆（</w:t>
            </w:r>
            <w:r>
              <w:rPr>
                <w:rFonts w:ascii="Calibri" w:eastAsia="宋体" w:hAnsi="Calibri" w:cs="Times New Roman" w:hint="eastAsia"/>
                <w:sz w:val="21"/>
                <w:szCs w:val="21"/>
              </w:rPr>
              <w:t>2000-4000</w:t>
            </w:r>
            <w:r>
              <w:rPr>
                <w:rFonts w:ascii="Calibri" w:eastAsia="宋体" w:hAnsi="Calibri" w:cs="Times New Roman" w:hint="eastAsia"/>
                <w:sz w:val="21"/>
                <w:szCs w:val="21"/>
              </w:rPr>
              <w:t>个座位），包括篮球场、气排球场（羽毛球场）、乒乓球场及不少于</w:t>
            </w:r>
            <w:r>
              <w:rPr>
                <w:rFonts w:ascii="Calibri" w:eastAsia="宋体" w:hAnsi="Calibri" w:cs="Times New Roman" w:hint="eastAsia"/>
                <w:sz w:val="21"/>
                <w:szCs w:val="21"/>
              </w:rPr>
              <w:t>7</w:t>
            </w:r>
            <w:r>
              <w:rPr>
                <w:rFonts w:ascii="Calibri" w:eastAsia="宋体" w:hAnsi="Calibri" w:cs="Times New Roman" w:hint="eastAsia"/>
                <w:sz w:val="21"/>
                <w:szCs w:val="21"/>
              </w:rPr>
              <w:t>片可套用室内外场地设施。</w:t>
            </w:r>
          </w:p>
        </w:tc>
        <w:tc>
          <w:tcPr>
            <w:tcW w:w="925" w:type="dxa"/>
            <w:tcBorders>
              <w:bottom w:val="single" w:sz="4" w:space="0" w:color="auto"/>
            </w:tcBorders>
            <w:vAlign w:val="center"/>
          </w:tcPr>
          <w:p w14:paraId="57848D5A"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10000</w:t>
            </w:r>
          </w:p>
        </w:tc>
        <w:tc>
          <w:tcPr>
            <w:tcW w:w="1171" w:type="dxa"/>
            <w:tcBorders>
              <w:bottom w:val="single" w:sz="4" w:space="0" w:color="auto"/>
            </w:tcBorders>
            <w:vAlign w:val="center"/>
          </w:tcPr>
          <w:p w14:paraId="132F8BF1"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业主自筹</w:t>
            </w:r>
          </w:p>
        </w:tc>
        <w:tc>
          <w:tcPr>
            <w:tcW w:w="1026" w:type="dxa"/>
            <w:tcBorders>
              <w:bottom w:val="single" w:sz="4" w:space="0" w:color="auto"/>
            </w:tcBorders>
            <w:vAlign w:val="center"/>
          </w:tcPr>
          <w:p w14:paraId="221852A7"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2021-2022</w:t>
            </w:r>
          </w:p>
        </w:tc>
      </w:tr>
      <w:tr w:rsidR="008A5C83" w14:paraId="4DE322D8" w14:textId="77777777">
        <w:trPr>
          <w:trHeight w:val="138"/>
          <w:jc w:val="center"/>
        </w:trPr>
        <w:tc>
          <w:tcPr>
            <w:tcW w:w="421" w:type="dxa"/>
            <w:vMerge/>
          </w:tcPr>
          <w:p w14:paraId="79DA078A" w14:textId="77777777" w:rsidR="008A5C83" w:rsidRDefault="008A5C83">
            <w:pPr>
              <w:spacing w:line="240" w:lineRule="auto"/>
              <w:ind w:firstLineChars="0" w:firstLine="0"/>
              <w:jc w:val="center"/>
              <w:rPr>
                <w:rFonts w:ascii="Calibri" w:eastAsia="宋体" w:hAnsi="Calibri" w:cs="Times New Roman"/>
                <w:sz w:val="21"/>
                <w:szCs w:val="21"/>
              </w:rPr>
            </w:pPr>
          </w:p>
        </w:tc>
        <w:tc>
          <w:tcPr>
            <w:tcW w:w="567" w:type="dxa"/>
            <w:tcBorders>
              <w:top w:val="single" w:sz="4" w:space="0" w:color="auto"/>
            </w:tcBorders>
            <w:vAlign w:val="center"/>
          </w:tcPr>
          <w:p w14:paraId="3C603AD6"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sz w:val="21"/>
                <w:szCs w:val="21"/>
              </w:rPr>
              <w:t>13</w:t>
            </w:r>
          </w:p>
        </w:tc>
        <w:tc>
          <w:tcPr>
            <w:tcW w:w="1417" w:type="dxa"/>
            <w:tcBorders>
              <w:top w:val="single" w:sz="4" w:space="0" w:color="auto"/>
            </w:tcBorders>
            <w:vAlign w:val="center"/>
          </w:tcPr>
          <w:p w14:paraId="52BDE767"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融安县扁嘴</w:t>
            </w:r>
            <w:proofErr w:type="gramStart"/>
            <w:r>
              <w:rPr>
                <w:rFonts w:ascii="Calibri" w:eastAsia="宋体" w:hAnsi="Calibri" w:cs="Times New Roman" w:hint="eastAsia"/>
                <w:sz w:val="21"/>
                <w:szCs w:val="21"/>
              </w:rPr>
              <w:t>岩体育</w:t>
            </w:r>
            <w:proofErr w:type="gramEnd"/>
            <w:r>
              <w:rPr>
                <w:rFonts w:ascii="Calibri" w:eastAsia="宋体" w:hAnsi="Calibri" w:cs="Times New Roman" w:hint="eastAsia"/>
                <w:sz w:val="21"/>
                <w:szCs w:val="21"/>
              </w:rPr>
              <w:t>休闲公园</w:t>
            </w:r>
          </w:p>
        </w:tc>
        <w:tc>
          <w:tcPr>
            <w:tcW w:w="1276" w:type="dxa"/>
            <w:tcBorders>
              <w:top w:val="single" w:sz="4" w:space="0" w:color="auto"/>
            </w:tcBorders>
            <w:vAlign w:val="center"/>
          </w:tcPr>
          <w:p w14:paraId="5A633514"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融安县</w:t>
            </w:r>
          </w:p>
        </w:tc>
        <w:tc>
          <w:tcPr>
            <w:tcW w:w="850" w:type="dxa"/>
            <w:tcBorders>
              <w:top w:val="single" w:sz="4" w:space="0" w:color="auto"/>
            </w:tcBorders>
            <w:vAlign w:val="center"/>
          </w:tcPr>
          <w:p w14:paraId="2AF8383A"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 xml:space="preserve">　</w:t>
            </w:r>
          </w:p>
        </w:tc>
        <w:tc>
          <w:tcPr>
            <w:tcW w:w="5678" w:type="dxa"/>
            <w:tcBorders>
              <w:top w:val="single" w:sz="4" w:space="0" w:color="auto"/>
            </w:tcBorders>
            <w:vAlign w:val="center"/>
          </w:tcPr>
          <w:p w14:paraId="0F91DB7F"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至少配置</w:t>
            </w:r>
            <w:r>
              <w:rPr>
                <w:rFonts w:ascii="Calibri" w:eastAsia="宋体" w:hAnsi="Calibri" w:cs="Times New Roman" w:hint="eastAsia"/>
                <w:sz w:val="21"/>
                <w:szCs w:val="21"/>
              </w:rPr>
              <w:t xml:space="preserve">4 </w:t>
            </w:r>
            <w:r>
              <w:rPr>
                <w:rFonts w:ascii="Calibri" w:eastAsia="宋体" w:hAnsi="Calibri" w:cs="Times New Roman" w:hint="eastAsia"/>
                <w:sz w:val="21"/>
                <w:szCs w:val="21"/>
              </w:rPr>
              <w:t>项体育项目或</w:t>
            </w:r>
            <w:r>
              <w:rPr>
                <w:rFonts w:ascii="Calibri" w:eastAsia="宋体" w:hAnsi="Calibri" w:cs="Times New Roman" w:hint="eastAsia"/>
                <w:sz w:val="21"/>
                <w:szCs w:val="21"/>
              </w:rPr>
              <w:t xml:space="preserve"> 8 </w:t>
            </w:r>
            <w:proofErr w:type="gramStart"/>
            <w:r>
              <w:rPr>
                <w:rFonts w:ascii="Calibri" w:eastAsia="宋体" w:hAnsi="Calibri" w:cs="Times New Roman" w:hint="eastAsia"/>
                <w:sz w:val="21"/>
                <w:szCs w:val="21"/>
              </w:rPr>
              <w:t>个</w:t>
            </w:r>
            <w:proofErr w:type="gramEnd"/>
            <w:r>
              <w:rPr>
                <w:rFonts w:ascii="Calibri" w:eastAsia="宋体" w:hAnsi="Calibri" w:cs="Times New Roman" w:hint="eastAsia"/>
                <w:sz w:val="21"/>
                <w:szCs w:val="21"/>
              </w:rPr>
              <w:t>体育场地；宜依托现有公园进行改建、扩建。</w:t>
            </w:r>
          </w:p>
        </w:tc>
        <w:tc>
          <w:tcPr>
            <w:tcW w:w="925" w:type="dxa"/>
            <w:tcBorders>
              <w:top w:val="single" w:sz="4" w:space="0" w:color="auto"/>
            </w:tcBorders>
            <w:vAlign w:val="center"/>
          </w:tcPr>
          <w:p w14:paraId="699E431E"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10000</w:t>
            </w:r>
          </w:p>
        </w:tc>
        <w:tc>
          <w:tcPr>
            <w:tcW w:w="1171" w:type="dxa"/>
            <w:tcBorders>
              <w:top w:val="single" w:sz="4" w:space="0" w:color="auto"/>
            </w:tcBorders>
            <w:vAlign w:val="center"/>
          </w:tcPr>
          <w:p w14:paraId="7781C7A3"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业主自筹</w:t>
            </w:r>
          </w:p>
          <w:p w14:paraId="48D4AE14"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财政资金</w:t>
            </w:r>
          </w:p>
        </w:tc>
        <w:tc>
          <w:tcPr>
            <w:tcW w:w="1026" w:type="dxa"/>
            <w:tcBorders>
              <w:top w:val="single" w:sz="4" w:space="0" w:color="auto"/>
            </w:tcBorders>
            <w:vAlign w:val="center"/>
          </w:tcPr>
          <w:p w14:paraId="22270478"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2021-2025</w:t>
            </w:r>
          </w:p>
        </w:tc>
      </w:tr>
      <w:tr w:rsidR="008A5C83" w14:paraId="12732218" w14:textId="77777777">
        <w:trPr>
          <w:trHeight w:val="1672"/>
          <w:jc w:val="center"/>
        </w:trPr>
        <w:tc>
          <w:tcPr>
            <w:tcW w:w="421" w:type="dxa"/>
            <w:vMerge/>
          </w:tcPr>
          <w:p w14:paraId="1DBC9B9A" w14:textId="77777777" w:rsidR="008A5C83" w:rsidRDefault="008A5C83">
            <w:pPr>
              <w:spacing w:line="240" w:lineRule="auto"/>
              <w:ind w:firstLineChars="0" w:firstLine="0"/>
              <w:jc w:val="center"/>
              <w:rPr>
                <w:rFonts w:ascii="Calibri" w:eastAsia="宋体" w:hAnsi="Calibri" w:cs="Times New Roman"/>
                <w:sz w:val="21"/>
                <w:szCs w:val="21"/>
              </w:rPr>
            </w:pPr>
          </w:p>
        </w:tc>
        <w:tc>
          <w:tcPr>
            <w:tcW w:w="567" w:type="dxa"/>
            <w:vAlign w:val="center"/>
          </w:tcPr>
          <w:p w14:paraId="67AA2255"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sz w:val="21"/>
                <w:szCs w:val="21"/>
              </w:rPr>
              <w:t>14</w:t>
            </w:r>
          </w:p>
        </w:tc>
        <w:tc>
          <w:tcPr>
            <w:tcW w:w="1417" w:type="dxa"/>
            <w:vAlign w:val="center"/>
          </w:tcPr>
          <w:p w14:paraId="04F40A59" w14:textId="77777777" w:rsidR="008A5C83" w:rsidRDefault="00A7141B">
            <w:pPr>
              <w:widowControl/>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三江县文体中心</w:t>
            </w:r>
          </w:p>
        </w:tc>
        <w:tc>
          <w:tcPr>
            <w:tcW w:w="1276" w:type="dxa"/>
            <w:vAlign w:val="center"/>
          </w:tcPr>
          <w:p w14:paraId="213DA84A" w14:textId="77777777" w:rsidR="008A5C83" w:rsidRDefault="00A7141B">
            <w:pPr>
              <w:widowControl/>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三江县浔江半岛</w:t>
            </w:r>
          </w:p>
        </w:tc>
        <w:tc>
          <w:tcPr>
            <w:tcW w:w="850" w:type="dxa"/>
            <w:vAlign w:val="center"/>
          </w:tcPr>
          <w:p w14:paraId="556DDBF3" w14:textId="77777777" w:rsidR="008A5C83" w:rsidRDefault="00A7141B">
            <w:pPr>
              <w:widowControl/>
              <w:spacing w:line="240" w:lineRule="auto"/>
              <w:ind w:firstLineChars="0" w:firstLine="0"/>
              <w:jc w:val="center"/>
              <w:textAlignment w:val="center"/>
              <w:rPr>
                <w:rFonts w:ascii="Calibri" w:eastAsia="宋体" w:hAnsi="Calibri" w:cs="Times New Roman"/>
                <w:sz w:val="21"/>
                <w:szCs w:val="21"/>
              </w:rPr>
            </w:pPr>
            <w:r>
              <w:rPr>
                <w:rFonts w:ascii="Calibri" w:eastAsia="宋体" w:hAnsi="Calibri" w:cs="Times New Roman" w:hint="eastAsia"/>
                <w:sz w:val="21"/>
                <w:szCs w:val="21"/>
              </w:rPr>
              <w:t>城建集团</w:t>
            </w:r>
          </w:p>
        </w:tc>
        <w:tc>
          <w:tcPr>
            <w:tcW w:w="5678" w:type="dxa"/>
            <w:vAlign w:val="center"/>
          </w:tcPr>
          <w:p w14:paraId="729BD48A"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建设一座多元化综合文体中心，规划总用地面积约</w:t>
            </w:r>
            <w:r>
              <w:rPr>
                <w:rFonts w:ascii="Calibri" w:eastAsia="宋体" w:hAnsi="Calibri" w:cs="Times New Roman" w:hint="eastAsia"/>
                <w:sz w:val="21"/>
                <w:szCs w:val="21"/>
              </w:rPr>
              <w:t>116063.14</w:t>
            </w:r>
            <w:r>
              <w:rPr>
                <w:rFonts w:ascii="Calibri" w:eastAsia="宋体" w:hAnsi="Calibri" w:cs="Times New Roman" w:hint="eastAsia"/>
                <w:sz w:val="21"/>
                <w:szCs w:val="21"/>
              </w:rPr>
              <w:t>平方米（约</w:t>
            </w:r>
            <w:r>
              <w:rPr>
                <w:rFonts w:ascii="Calibri" w:eastAsia="宋体" w:hAnsi="Calibri" w:cs="Times New Roman" w:hint="eastAsia"/>
                <w:sz w:val="21"/>
                <w:szCs w:val="21"/>
              </w:rPr>
              <w:t>174</w:t>
            </w:r>
            <w:r>
              <w:rPr>
                <w:rFonts w:ascii="Calibri" w:eastAsia="宋体" w:hAnsi="Calibri" w:cs="Times New Roman" w:hint="eastAsia"/>
                <w:sz w:val="21"/>
                <w:szCs w:val="21"/>
              </w:rPr>
              <w:t>亩），总建筑面积</w:t>
            </w:r>
            <w:r>
              <w:rPr>
                <w:rFonts w:ascii="Calibri" w:eastAsia="宋体" w:hAnsi="Calibri" w:cs="Times New Roman" w:hint="eastAsia"/>
                <w:sz w:val="21"/>
                <w:szCs w:val="21"/>
              </w:rPr>
              <w:t>70871.12</w:t>
            </w:r>
            <w:r>
              <w:rPr>
                <w:rFonts w:ascii="Calibri" w:eastAsia="宋体" w:hAnsi="Calibri" w:cs="Times New Roman" w:hint="eastAsia"/>
                <w:sz w:val="21"/>
                <w:szCs w:val="21"/>
              </w:rPr>
              <w:t>平方米，占地面积</w:t>
            </w:r>
            <w:r>
              <w:rPr>
                <w:rFonts w:ascii="Calibri" w:eastAsia="宋体" w:hAnsi="Calibri" w:cs="Times New Roman" w:hint="eastAsia"/>
                <w:sz w:val="21"/>
                <w:szCs w:val="21"/>
              </w:rPr>
              <w:t>63207.24</w:t>
            </w:r>
            <w:r>
              <w:rPr>
                <w:rFonts w:ascii="Calibri" w:eastAsia="宋体" w:hAnsi="Calibri" w:cs="Times New Roman" w:hint="eastAsia"/>
                <w:sz w:val="21"/>
                <w:szCs w:val="21"/>
              </w:rPr>
              <w:t>平方米，建设内容包括公共体育设施及配套商业。</w:t>
            </w:r>
          </w:p>
        </w:tc>
        <w:tc>
          <w:tcPr>
            <w:tcW w:w="925" w:type="dxa"/>
            <w:vAlign w:val="center"/>
          </w:tcPr>
          <w:p w14:paraId="5F35951D"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50433</w:t>
            </w:r>
          </w:p>
        </w:tc>
        <w:tc>
          <w:tcPr>
            <w:tcW w:w="1171" w:type="dxa"/>
            <w:vAlign w:val="center"/>
          </w:tcPr>
          <w:p w14:paraId="25A6516E"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业主自筹</w:t>
            </w:r>
          </w:p>
        </w:tc>
        <w:tc>
          <w:tcPr>
            <w:tcW w:w="1026" w:type="dxa"/>
            <w:vAlign w:val="center"/>
          </w:tcPr>
          <w:p w14:paraId="788E9EE8"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w:t>
            </w:r>
            <w:r>
              <w:rPr>
                <w:rFonts w:ascii="Calibri" w:eastAsia="宋体" w:hAnsi="Calibri" w:cs="Times New Roman"/>
                <w:sz w:val="21"/>
                <w:szCs w:val="21"/>
              </w:rPr>
              <w:t>1</w:t>
            </w:r>
            <w:r>
              <w:rPr>
                <w:rFonts w:ascii="Calibri" w:eastAsia="宋体" w:hAnsi="Calibri" w:cs="Times New Roman" w:hint="eastAsia"/>
                <w:sz w:val="21"/>
                <w:szCs w:val="21"/>
              </w:rPr>
              <w:t>-2022</w:t>
            </w:r>
          </w:p>
        </w:tc>
      </w:tr>
      <w:tr w:rsidR="008A5C83" w14:paraId="7C1B30BE" w14:textId="77777777">
        <w:trPr>
          <w:trHeight w:val="916"/>
          <w:jc w:val="center"/>
        </w:trPr>
        <w:tc>
          <w:tcPr>
            <w:tcW w:w="421" w:type="dxa"/>
            <w:vMerge/>
          </w:tcPr>
          <w:p w14:paraId="65EFB747" w14:textId="77777777" w:rsidR="008A5C83" w:rsidRDefault="008A5C83">
            <w:pPr>
              <w:spacing w:line="240" w:lineRule="auto"/>
              <w:ind w:firstLineChars="0" w:firstLine="0"/>
              <w:jc w:val="center"/>
              <w:rPr>
                <w:rFonts w:ascii="Calibri" w:eastAsia="宋体" w:hAnsi="Calibri" w:cs="Times New Roman"/>
                <w:sz w:val="21"/>
                <w:szCs w:val="21"/>
              </w:rPr>
            </w:pPr>
          </w:p>
        </w:tc>
        <w:tc>
          <w:tcPr>
            <w:tcW w:w="567" w:type="dxa"/>
            <w:vAlign w:val="center"/>
          </w:tcPr>
          <w:p w14:paraId="3857005A"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sz w:val="21"/>
                <w:szCs w:val="21"/>
              </w:rPr>
              <w:t>15</w:t>
            </w:r>
          </w:p>
        </w:tc>
        <w:tc>
          <w:tcPr>
            <w:tcW w:w="1417" w:type="dxa"/>
            <w:vAlign w:val="center"/>
          </w:tcPr>
          <w:p w14:paraId="7CB54333"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三江</w:t>
            </w:r>
            <w:proofErr w:type="gramStart"/>
            <w:r>
              <w:rPr>
                <w:rFonts w:ascii="Calibri" w:eastAsia="宋体" w:hAnsi="Calibri" w:cs="Times New Roman" w:hint="eastAsia"/>
                <w:sz w:val="21"/>
                <w:szCs w:val="21"/>
              </w:rPr>
              <w:t>县月也体育园</w:t>
            </w:r>
            <w:proofErr w:type="gramEnd"/>
          </w:p>
        </w:tc>
        <w:tc>
          <w:tcPr>
            <w:tcW w:w="1276" w:type="dxa"/>
            <w:vAlign w:val="center"/>
          </w:tcPr>
          <w:p w14:paraId="50DFF8CF"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三江县</w:t>
            </w:r>
          </w:p>
        </w:tc>
        <w:tc>
          <w:tcPr>
            <w:tcW w:w="850" w:type="dxa"/>
            <w:vAlign w:val="center"/>
          </w:tcPr>
          <w:p w14:paraId="3B58EBA6"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 xml:space="preserve">　</w:t>
            </w:r>
          </w:p>
        </w:tc>
        <w:tc>
          <w:tcPr>
            <w:tcW w:w="5678" w:type="dxa"/>
            <w:vAlign w:val="center"/>
          </w:tcPr>
          <w:p w14:paraId="5D551FF6"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绿化、美化工程、儿童乐园、篮球场、足球场等体育设施。</w:t>
            </w:r>
          </w:p>
        </w:tc>
        <w:tc>
          <w:tcPr>
            <w:tcW w:w="925" w:type="dxa"/>
            <w:vAlign w:val="center"/>
          </w:tcPr>
          <w:p w14:paraId="25B80659"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10000</w:t>
            </w:r>
          </w:p>
        </w:tc>
        <w:tc>
          <w:tcPr>
            <w:tcW w:w="1171" w:type="dxa"/>
            <w:vAlign w:val="center"/>
          </w:tcPr>
          <w:p w14:paraId="1FD83FFA"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业主自筹</w:t>
            </w:r>
          </w:p>
          <w:p w14:paraId="461B23C6"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财政资金</w:t>
            </w:r>
          </w:p>
        </w:tc>
        <w:tc>
          <w:tcPr>
            <w:tcW w:w="1026" w:type="dxa"/>
            <w:vAlign w:val="center"/>
          </w:tcPr>
          <w:p w14:paraId="1A38477C"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w:t>
            </w:r>
            <w:r>
              <w:rPr>
                <w:rFonts w:ascii="Calibri" w:eastAsia="宋体" w:hAnsi="Calibri" w:cs="Times New Roman"/>
                <w:sz w:val="21"/>
                <w:szCs w:val="21"/>
              </w:rPr>
              <w:t>1</w:t>
            </w:r>
            <w:r>
              <w:rPr>
                <w:rFonts w:ascii="Calibri" w:eastAsia="宋体" w:hAnsi="Calibri" w:cs="Times New Roman" w:hint="eastAsia"/>
                <w:sz w:val="21"/>
                <w:szCs w:val="21"/>
              </w:rPr>
              <w:t>-2022</w:t>
            </w:r>
          </w:p>
        </w:tc>
      </w:tr>
      <w:tr w:rsidR="008A5C83" w14:paraId="073C7761" w14:textId="77777777">
        <w:trPr>
          <w:trHeight w:val="1408"/>
          <w:jc w:val="center"/>
        </w:trPr>
        <w:tc>
          <w:tcPr>
            <w:tcW w:w="421" w:type="dxa"/>
            <w:vMerge/>
          </w:tcPr>
          <w:p w14:paraId="3A29DAEA" w14:textId="77777777" w:rsidR="008A5C83" w:rsidRDefault="008A5C83">
            <w:pPr>
              <w:spacing w:line="240" w:lineRule="auto"/>
              <w:ind w:firstLineChars="0" w:firstLine="0"/>
              <w:jc w:val="center"/>
              <w:rPr>
                <w:rFonts w:ascii="Calibri" w:eastAsia="宋体" w:hAnsi="Calibri" w:cs="Times New Roman"/>
                <w:sz w:val="21"/>
                <w:szCs w:val="21"/>
              </w:rPr>
            </w:pPr>
          </w:p>
        </w:tc>
        <w:tc>
          <w:tcPr>
            <w:tcW w:w="567" w:type="dxa"/>
            <w:vAlign w:val="center"/>
          </w:tcPr>
          <w:p w14:paraId="72C02071"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sz w:val="21"/>
                <w:szCs w:val="21"/>
              </w:rPr>
              <w:t>16</w:t>
            </w:r>
          </w:p>
        </w:tc>
        <w:tc>
          <w:tcPr>
            <w:tcW w:w="1417" w:type="dxa"/>
            <w:vAlign w:val="center"/>
          </w:tcPr>
          <w:p w14:paraId="4FA97C4C"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融水</w:t>
            </w:r>
            <w:proofErr w:type="gramStart"/>
            <w:r>
              <w:rPr>
                <w:rFonts w:ascii="Calibri" w:eastAsia="宋体" w:hAnsi="Calibri" w:cs="Times New Roman" w:hint="eastAsia"/>
                <w:sz w:val="21"/>
                <w:szCs w:val="21"/>
              </w:rPr>
              <w:t>水</w:t>
            </w:r>
            <w:proofErr w:type="gramEnd"/>
            <w:r>
              <w:rPr>
                <w:rFonts w:ascii="Calibri" w:eastAsia="宋体" w:hAnsi="Calibri" w:cs="Times New Roman" w:hint="eastAsia"/>
                <w:sz w:val="21"/>
                <w:szCs w:val="21"/>
              </w:rPr>
              <w:t>东</w:t>
            </w:r>
            <w:proofErr w:type="gramStart"/>
            <w:r>
              <w:rPr>
                <w:rFonts w:ascii="Calibri" w:eastAsia="宋体" w:hAnsi="Calibri" w:cs="Times New Roman" w:hint="eastAsia"/>
                <w:sz w:val="21"/>
                <w:szCs w:val="21"/>
              </w:rPr>
              <w:t>体育园</w:t>
            </w:r>
            <w:proofErr w:type="gramEnd"/>
          </w:p>
        </w:tc>
        <w:tc>
          <w:tcPr>
            <w:tcW w:w="1276" w:type="dxa"/>
            <w:vAlign w:val="center"/>
          </w:tcPr>
          <w:p w14:paraId="34124328"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融水县</w:t>
            </w:r>
          </w:p>
        </w:tc>
        <w:tc>
          <w:tcPr>
            <w:tcW w:w="850" w:type="dxa"/>
            <w:vAlign w:val="center"/>
          </w:tcPr>
          <w:p w14:paraId="3BA71D50" w14:textId="77777777" w:rsidR="008A5C83" w:rsidRDefault="008A5C83">
            <w:pPr>
              <w:spacing w:line="240" w:lineRule="auto"/>
              <w:ind w:firstLineChars="0" w:firstLine="0"/>
              <w:jc w:val="center"/>
              <w:rPr>
                <w:rFonts w:ascii="Calibri" w:eastAsia="宋体" w:hAnsi="Calibri" w:cs="Times New Roman"/>
                <w:sz w:val="21"/>
                <w:szCs w:val="21"/>
              </w:rPr>
            </w:pPr>
          </w:p>
        </w:tc>
        <w:tc>
          <w:tcPr>
            <w:tcW w:w="5678" w:type="dxa"/>
            <w:vAlign w:val="center"/>
          </w:tcPr>
          <w:p w14:paraId="151C605B"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新建占地面积</w:t>
            </w:r>
            <w:r>
              <w:rPr>
                <w:rFonts w:ascii="Calibri" w:eastAsia="宋体" w:hAnsi="Calibri" w:cs="Times New Roman" w:hint="eastAsia"/>
                <w:sz w:val="21"/>
                <w:szCs w:val="21"/>
              </w:rPr>
              <w:t>80</w:t>
            </w:r>
            <w:r>
              <w:rPr>
                <w:rFonts w:ascii="Calibri" w:eastAsia="宋体" w:hAnsi="Calibri" w:cs="Times New Roman" w:hint="eastAsia"/>
                <w:sz w:val="21"/>
                <w:szCs w:val="21"/>
              </w:rPr>
              <w:t>亩融水县全民健身中心，建设三层建筑面积为</w:t>
            </w:r>
            <w:r>
              <w:rPr>
                <w:rFonts w:ascii="Calibri" w:eastAsia="宋体" w:hAnsi="Calibri" w:cs="Times New Roman" w:hint="eastAsia"/>
                <w:sz w:val="21"/>
                <w:szCs w:val="21"/>
              </w:rPr>
              <w:t>11000</w:t>
            </w:r>
            <w:r>
              <w:rPr>
                <w:rFonts w:ascii="Calibri" w:eastAsia="宋体" w:hAnsi="Calibri" w:cs="Times New Roman" w:hint="eastAsia"/>
                <w:sz w:val="21"/>
                <w:szCs w:val="21"/>
              </w:rPr>
              <w:t>㎡的健身中心，设室内篮球场、气排球场、乒乓球、羽毛球等比赛和训练室内场地；建设标准</w:t>
            </w:r>
            <w:r>
              <w:rPr>
                <w:rFonts w:ascii="Calibri" w:eastAsia="宋体" w:hAnsi="Calibri" w:cs="Times New Roman" w:hint="eastAsia"/>
                <w:sz w:val="21"/>
                <w:szCs w:val="21"/>
              </w:rPr>
              <w:t>400</w:t>
            </w:r>
            <w:r>
              <w:rPr>
                <w:rFonts w:ascii="Calibri" w:eastAsia="宋体" w:hAnsi="Calibri" w:cs="Times New Roman" w:hint="eastAsia"/>
                <w:sz w:val="21"/>
                <w:szCs w:val="21"/>
              </w:rPr>
              <w:t>米环形跑道，跑道内建设</w:t>
            </w:r>
            <w:r>
              <w:rPr>
                <w:rFonts w:ascii="Calibri" w:eastAsia="宋体" w:hAnsi="Calibri" w:cs="Times New Roman" w:hint="eastAsia"/>
                <w:sz w:val="21"/>
                <w:szCs w:val="21"/>
              </w:rPr>
              <w:t>11</w:t>
            </w:r>
            <w:proofErr w:type="gramStart"/>
            <w:r>
              <w:rPr>
                <w:rFonts w:ascii="Calibri" w:eastAsia="宋体" w:hAnsi="Calibri" w:cs="Times New Roman" w:hint="eastAsia"/>
                <w:sz w:val="21"/>
                <w:szCs w:val="21"/>
              </w:rPr>
              <w:t>人制</w:t>
            </w:r>
            <w:proofErr w:type="gramEnd"/>
            <w:r>
              <w:rPr>
                <w:rFonts w:ascii="Calibri" w:eastAsia="宋体" w:hAnsi="Calibri" w:cs="Times New Roman" w:hint="eastAsia"/>
                <w:sz w:val="21"/>
                <w:szCs w:val="21"/>
              </w:rPr>
              <w:t>足球场</w:t>
            </w:r>
            <w:r>
              <w:rPr>
                <w:rFonts w:ascii="Calibri" w:eastAsia="宋体" w:hAnsi="Calibri" w:cs="Times New Roman" w:hint="eastAsia"/>
                <w:sz w:val="21"/>
                <w:szCs w:val="21"/>
              </w:rPr>
              <w:t>1</w:t>
            </w:r>
            <w:r>
              <w:rPr>
                <w:rFonts w:ascii="Calibri" w:eastAsia="宋体" w:hAnsi="Calibri" w:cs="Times New Roman" w:hint="eastAsia"/>
                <w:sz w:val="21"/>
                <w:szCs w:val="21"/>
              </w:rPr>
              <w:t>个；建设</w:t>
            </w:r>
            <w:r>
              <w:rPr>
                <w:rFonts w:ascii="Calibri" w:eastAsia="宋体" w:hAnsi="Calibri" w:cs="Times New Roman" w:hint="eastAsia"/>
                <w:sz w:val="21"/>
                <w:szCs w:val="21"/>
              </w:rPr>
              <w:t>3</w:t>
            </w:r>
            <w:r>
              <w:rPr>
                <w:rFonts w:ascii="Calibri" w:eastAsia="宋体" w:hAnsi="Calibri" w:cs="Times New Roman" w:hint="eastAsia"/>
                <w:sz w:val="21"/>
                <w:szCs w:val="21"/>
              </w:rPr>
              <w:t>个</w:t>
            </w:r>
            <w:r>
              <w:rPr>
                <w:rFonts w:ascii="Calibri" w:eastAsia="宋体" w:hAnsi="Calibri" w:cs="Times New Roman" w:hint="eastAsia"/>
                <w:sz w:val="21"/>
                <w:szCs w:val="21"/>
              </w:rPr>
              <w:t>7</w:t>
            </w:r>
            <w:proofErr w:type="gramStart"/>
            <w:r>
              <w:rPr>
                <w:rFonts w:ascii="Calibri" w:eastAsia="宋体" w:hAnsi="Calibri" w:cs="Times New Roman" w:hint="eastAsia"/>
                <w:sz w:val="21"/>
                <w:szCs w:val="21"/>
              </w:rPr>
              <w:t>人制</w:t>
            </w:r>
            <w:proofErr w:type="gramEnd"/>
            <w:r>
              <w:rPr>
                <w:rFonts w:ascii="Calibri" w:eastAsia="宋体" w:hAnsi="Calibri" w:cs="Times New Roman" w:hint="eastAsia"/>
                <w:sz w:val="21"/>
                <w:szCs w:val="21"/>
              </w:rPr>
              <w:t>足球场，室外</w:t>
            </w:r>
            <w:r>
              <w:rPr>
                <w:rFonts w:ascii="Calibri" w:eastAsia="宋体" w:hAnsi="Calibri" w:cs="Times New Roman" w:hint="eastAsia"/>
                <w:sz w:val="21"/>
                <w:szCs w:val="21"/>
              </w:rPr>
              <w:t>4</w:t>
            </w:r>
            <w:r>
              <w:rPr>
                <w:rFonts w:ascii="Calibri" w:eastAsia="宋体" w:hAnsi="Calibri" w:cs="Times New Roman" w:hint="eastAsia"/>
                <w:sz w:val="21"/>
                <w:szCs w:val="21"/>
              </w:rPr>
              <w:t>个标准篮球场，室外</w:t>
            </w:r>
            <w:r>
              <w:rPr>
                <w:rFonts w:ascii="Calibri" w:eastAsia="宋体" w:hAnsi="Calibri" w:cs="Times New Roman" w:hint="eastAsia"/>
                <w:sz w:val="21"/>
                <w:szCs w:val="21"/>
              </w:rPr>
              <w:t>2</w:t>
            </w:r>
            <w:r>
              <w:rPr>
                <w:rFonts w:ascii="Calibri" w:eastAsia="宋体" w:hAnsi="Calibri" w:cs="Times New Roman" w:hint="eastAsia"/>
                <w:sz w:val="21"/>
                <w:szCs w:val="21"/>
              </w:rPr>
              <w:t>个标准网球场；配套建设</w:t>
            </w:r>
            <w:r>
              <w:rPr>
                <w:rFonts w:ascii="Calibri" w:eastAsia="宋体" w:hAnsi="Calibri" w:cs="Times New Roman" w:hint="eastAsia"/>
                <w:sz w:val="21"/>
                <w:szCs w:val="21"/>
              </w:rPr>
              <w:t>5000</w:t>
            </w:r>
            <w:r>
              <w:rPr>
                <w:rFonts w:ascii="Calibri" w:eastAsia="宋体" w:hAnsi="Calibri" w:cs="Times New Roman" w:hint="eastAsia"/>
                <w:sz w:val="21"/>
                <w:szCs w:val="21"/>
              </w:rPr>
              <w:t>平方米的融水县体校教学楼、宿舍楼、食堂、公厕室内训练馆等设施；配套建设一个</w:t>
            </w:r>
            <w:r>
              <w:rPr>
                <w:rFonts w:ascii="Calibri" w:eastAsia="宋体" w:hAnsi="Calibri" w:cs="Times New Roman" w:hint="eastAsia"/>
                <w:sz w:val="21"/>
                <w:szCs w:val="21"/>
              </w:rPr>
              <w:t>500</w:t>
            </w:r>
            <w:r>
              <w:rPr>
                <w:rFonts w:ascii="Calibri" w:eastAsia="宋体" w:hAnsi="Calibri" w:cs="Times New Roman" w:hint="eastAsia"/>
                <w:sz w:val="21"/>
                <w:szCs w:val="21"/>
              </w:rPr>
              <w:t>个车位的停车场。</w:t>
            </w:r>
          </w:p>
        </w:tc>
        <w:tc>
          <w:tcPr>
            <w:tcW w:w="925" w:type="dxa"/>
            <w:vAlign w:val="center"/>
          </w:tcPr>
          <w:p w14:paraId="7CA931CF"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85000</w:t>
            </w:r>
          </w:p>
        </w:tc>
        <w:tc>
          <w:tcPr>
            <w:tcW w:w="1171" w:type="dxa"/>
            <w:vAlign w:val="center"/>
          </w:tcPr>
          <w:p w14:paraId="01E8DF98"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业主自筹及上级资金</w:t>
            </w:r>
          </w:p>
        </w:tc>
        <w:tc>
          <w:tcPr>
            <w:tcW w:w="1026" w:type="dxa"/>
            <w:vAlign w:val="center"/>
          </w:tcPr>
          <w:p w14:paraId="5DD67467"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2021-2024</w:t>
            </w:r>
          </w:p>
        </w:tc>
      </w:tr>
      <w:tr w:rsidR="008A5C83" w14:paraId="69FEC68E" w14:textId="77777777">
        <w:trPr>
          <w:trHeight w:val="1244"/>
          <w:jc w:val="center"/>
        </w:trPr>
        <w:tc>
          <w:tcPr>
            <w:tcW w:w="421" w:type="dxa"/>
            <w:vMerge/>
          </w:tcPr>
          <w:p w14:paraId="35BC7431" w14:textId="77777777" w:rsidR="008A5C83" w:rsidRDefault="008A5C83">
            <w:pPr>
              <w:spacing w:line="240" w:lineRule="auto"/>
              <w:ind w:firstLineChars="0" w:firstLine="0"/>
              <w:jc w:val="center"/>
              <w:rPr>
                <w:rFonts w:ascii="Calibri" w:eastAsia="宋体" w:hAnsi="Calibri" w:cs="Times New Roman"/>
                <w:sz w:val="21"/>
                <w:szCs w:val="21"/>
              </w:rPr>
            </w:pPr>
          </w:p>
        </w:tc>
        <w:tc>
          <w:tcPr>
            <w:tcW w:w="567" w:type="dxa"/>
            <w:vAlign w:val="center"/>
          </w:tcPr>
          <w:p w14:paraId="19C25F3C"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sz w:val="21"/>
                <w:szCs w:val="21"/>
              </w:rPr>
              <w:t>17</w:t>
            </w:r>
          </w:p>
        </w:tc>
        <w:tc>
          <w:tcPr>
            <w:tcW w:w="1417" w:type="dxa"/>
            <w:vAlign w:val="center"/>
          </w:tcPr>
          <w:p w14:paraId="50CC35B2"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阳和沿江水上运动公园</w:t>
            </w:r>
          </w:p>
        </w:tc>
        <w:tc>
          <w:tcPr>
            <w:tcW w:w="1276" w:type="dxa"/>
            <w:vAlign w:val="center"/>
          </w:tcPr>
          <w:p w14:paraId="4534D0A5"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阳和新区</w:t>
            </w:r>
          </w:p>
        </w:tc>
        <w:tc>
          <w:tcPr>
            <w:tcW w:w="850" w:type="dxa"/>
            <w:vAlign w:val="center"/>
          </w:tcPr>
          <w:p w14:paraId="163521C3"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东通公司</w:t>
            </w:r>
          </w:p>
        </w:tc>
        <w:tc>
          <w:tcPr>
            <w:tcW w:w="5678" w:type="dxa"/>
            <w:vAlign w:val="center"/>
          </w:tcPr>
          <w:p w14:paraId="0F5CE4D3"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拟规划总用地面积</w:t>
            </w:r>
            <w:r>
              <w:rPr>
                <w:rFonts w:ascii="Calibri" w:eastAsia="宋体" w:hAnsi="Calibri" w:cs="Times New Roman" w:hint="eastAsia"/>
                <w:sz w:val="21"/>
                <w:szCs w:val="21"/>
              </w:rPr>
              <w:t>338.82</w:t>
            </w:r>
            <w:r>
              <w:rPr>
                <w:rFonts w:ascii="Calibri" w:eastAsia="宋体" w:hAnsi="Calibri" w:cs="Times New Roman" w:hint="eastAsia"/>
                <w:sz w:val="21"/>
                <w:szCs w:val="21"/>
              </w:rPr>
              <w:t>亩，主要功能分区包括：驳岸生态带、运动文化区、野趣娱乐区、花田观光区。</w:t>
            </w:r>
          </w:p>
        </w:tc>
        <w:tc>
          <w:tcPr>
            <w:tcW w:w="925" w:type="dxa"/>
            <w:vAlign w:val="center"/>
          </w:tcPr>
          <w:p w14:paraId="79C321DB"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16606</w:t>
            </w:r>
          </w:p>
        </w:tc>
        <w:tc>
          <w:tcPr>
            <w:tcW w:w="1171" w:type="dxa"/>
            <w:vAlign w:val="center"/>
          </w:tcPr>
          <w:p w14:paraId="4DF6B908"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业主自筹</w:t>
            </w:r>
          </w:p>
        </w:tc>
        <w:tc>
          <w:tcPr>
            <w:tcW w:w="1026" w:type="dxa"/>
            <w:vAlign w:val="center"/>
          </w:tcPr>
          <w:p w14:paraId="0D254618"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2021-2023</w:t>
            </w:r>
          </w:p>
        </w:tc>
      </w:tr>
      <w:tr w:rsidR="008A5C83" w14:paraId="4D63AE93" w14:textId="77777777">
        <w:trPr>
          <w:trHeight w:val="1244"/>
          <w:jc w:val="center"/>
        </w:trPr>
        <w:tc>
          <w:tcPr>
            <w:tcW w:w="421" w:type="dxa"/>
            <w:vMerge/>
          </w:tcPr>
          <w:p w14:paraId="6E142C7F" w14:textId="77777777" w:rsidR="008A5C83" w:rsidRDefault="008A5C83">
            <w:pPr>
              <w:spacing w:line="240" w:lineRule="auto"/>
              <w:ind w:firstLineChars="0" w:firstLine="0"/>
              <w:jc w:val="center"/>
              <w:rPr>
                <w:rFonts w:ascii="Calibri" w:eastAsia="宋体" w:hAnsi="Calibri" w:cs="Times New Roman"/>
                <w:sz w:val="21"/>
                <w:szCs w:val="21"/>
              </w:rPr>
            </w:pPr>
          </w:p>
        </w:tc>
        <w:tc>
          <w:tcPr>
            <w:tcW w:w="567" w:type="dxa"/>
            <w:vAlign w:val="center"/>
          </w:tcPr>
          <w:p w14:paraId="16FBE818"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sz w:val="21"/>
                <w:szCs w:val="21"/>
              </w:rPr>
              <w:t>19</w:t>
            </w:r>
          </w:p>
        </w:tc>
        <w:tc>
          <w:tcPr>
            <w:tcW w:w="1417" w:type="dxa"/>
            <w:vAlign w:val="center"/>
          </w:tcPr>
          <w:p w14:paraId="5903A02F"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凤凰</w:t>
            </w:r>
            <w:r>
              <w:rPr>
                <w:rFonts w:ascii="Calibri" w:eastAsia="宋体" w:hAnsi="Calibri" w:cs="Times New Roman" w:hint="eastAsia"/>
                <w:sz w:val="21"/>
                <w:szCs w:val="21"/>
              </w:rPr>
              <w:t>河景公共文化体育服务设施建设项目</w:t>
            </w:r>
          </w:p>
        </w:tc>
        <w:tc>
          <w:tcPr>
            <w:tcW w:w="1276" w:type="dxa"/>
            <w:vAlign w:val="center"/>
          </w:tcPr>
          <w:p w14:paraId="7B24FF24"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柳南区</w:t>
            </w:r>
          </w:p>
        </w:tc>
        <w:tc>
          <w:tcPr>
            <w:tcW w:w="850" w:type="dxa"/>
            <w:vAlign w:val="center"/>
          </w:tcPr>
          <w:p w14:paraId="555D00A3"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广西黑天鹅集团</w:t>
            </w:r>
          </w:p>
        </w:tc>
        <w:tc>
          <w:tcPr>
            <w:tcW w:w="5678" w:type="dxa"/>
            <w:vAlign w:val="center"/>
          </w:tcPr>
          <w:p w14:paraId="6BEE5118"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建设健身步道</w:t>
            </w:r>
            <w:r>
              <w:rPr>
                <w:rFonts w:ascii="Calibri" w:eastAsia="宋体" w:hAnsi="Calibri" w:cs="Times New Roman" w:hint="eastAsia"/>
                <w:sz w:val="21"/>
                <w:szCs w:val="21"/>
              </w:rPr>
              <w:t>5</w:t>
            </w:r>
            <w:r>
              <w:rPr>
                <w:rFonts w:ascii="Calibri" w:eastAsia="宋体" w:hAnsi="Calibri" w:cs="Times New Roman" w:hint="eastAsia"/>
                <w:sz w:val="21"/>
                <w:szCs w:val="21"/>
              </w:rPr>
              <w:t>公里，登山步道</w:t>
            </w:r>
            <w:r>
              <w:rPr>
                <w:rFonts w:ascii="Calibri" w:eastAsia="宋体" w:hAnsi="Calibri" w:cs="Times New Roman" w:hint="eastAsia"/>
                <w:sz w:val="21"/>
                <w:szCs w:val="21"/>
              </w:rPr>
              <w:t>10</w:t>
            </w:r>
            <w:r>
              <w:rPr>
                <w:rFonts w:ascii="Calibri" w:eastAsia="宋体" w:hAnsi="Calibri" w:cs="Times New Roman" w:hint="eastAsia"/>
                <w:sz w:val="21"/>
                <w:szCs w:val="21"/>
              </w:rPr>
              <w:t>公里，建设</w:t>
            </w:r>
            <w:r>
              <w:rPr>
                <w:rFonts w:ascii="Calibri" w:eastAsia="宋体" w:hAnsi="Calibri" w:cs="Times New Roman" w:hint="eastAsia"/>
                <w:sz w:val="21"/>
                <w:szCs w:val="21"/>
              </w:rPr>
              <w:t>5</w:t>
            </w:r>
            <w:proofErr w:type="gramStart"/>
            <w:r>
              <w:rPr>
                <w:rFonts w:ascii="Calibri" w:eastAsia="宋体" w:hAnsi="Calibri" w:cs="Times New Roman" w:hint="eastAsia"/>
                <w:sz w:val="21"/>
                <w:szCs w:val="21"/>
              </w:rPr>
              <w:t>人制</w:t>
            </w:r>
            <w:proofErr w:type="gramEnd"/>
            <w:r>
              <w:rPr>
                <w:rFonts w:ascii="Calibri" w:eastAsia="宋体" w:hAnsi="Calibri" w:cs="Times New Roman" w:hint="eastAsia"/>
                <w:sz w:val="21"/>
                <w:szCs w:val="21"/>
              </w:rPr>
              <w:t>足球场</w:t>
            </w:r>
            <w:r>
              <w:rPr>
                <w:rFonts w:ascii="Calibri" w:eastAsia="宋体" w:hAnsi="Calibri" w:cs="Times New Roman" w:hint="eastAsia"/>
                <w:sz w:val="21"/>
                <w:szCs w:val="21"/>
              </w:rPr>
              <w:t>6</w:t>
            </w:r>
            <w:r>
              <w:rPr>
                <w:rFonts w:ascii="Calibri" w:eastAsia="宋体" w:hAnsi="Calibri" w:cs="Times New Roman" w:hint="eastAsia"/>
                <w:sz w:val="21"/>
                <w:szCs w:val="21"/>
              </w:rPr>
              <w:t>个，建设公共户外运动服务中心，服务汽车营地、公共船艇码头</w:t>
            </w:r>
          </w:p>
        </w:tc>
        <w:tc>
          <w:tcPr>
            <w:tcW w:w="925" w:type="dxa"/>
            <w:vAlign w:val="center"/>
          </w:tcPr>
          <w:p w14:paraId="30A9E46E"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2500</w:t>
            </w:r>
          </w:p>
        </w:tc>
        <w:tc>
          <w:tcPr>
            <w:tcW w:w="1171" w:type="dxa"/>
            <w:vAlign w:val="center"/>
          </w:tcPr>
          <w:p w14:paraId="00AD1A38"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业主自筹</w:t>
            </w:r>
          </w:p>
        </w:tc>
        <w:tc>
          <w:tcPr>
            <w:tcW w:w="1026" w:type="dxa"/>
            <w:vAlign w:val="center"/>
          </w:tcPr>
          <w:p w14:paraId="0BD38A0C"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2021-202</w:t>
            </w:r>
            <w:r>
              <w:rPr>
                <w:rFonts w:ascii="Calibri" w:eastAsia="宋体" w:hAnsi="Calibri" w:cs="Times New Roman"/>
                <w:sz w:val="21"/>
                <w:szCs w:val="21"/>
              </w:rPr>
              <w:t>3</w:t>
            </w:r>
          </w:p>
        </w:tc>
      </w:tr>
      <w:tr w:rsidR="008A5C83" w14:paraId="68AAFA9F" w14:textId="77777777">
        <w:trPr>
          <w:trHeight w:val="1408"/>
          <w:jc w:val="center"/>
        </w:trPr>
        <w:tc>
          <w:tcPr>
            <w:tcW w:w="421" w:type="dxa"/>
            <w:vMerge/>
          </w:tcPr>
          <w:p w14:paraId="042D15EF" w14:textId="77777777" w:rsidR="008A5C83" w:rsidRDefault="008A5C83">
            <w:pPr>
              <w:spacing w:line="240" w:lineRule="auto"/>
              <w:ind w:firstLineChars="0" w:firstLine="0"/>
              <w:jc w:val="center"/>
              <w:rPr>
                <w:rFonts w:ascii="Calibri" w:eastAsia="宋体" w:hAnsi="Calibri" w:cs="Times New Roman"/>
                <w:sz w:val="21"/>
                <w:szCs w:val="21"/>
              </w:rPr>
            </w:pPr>
          </w:p>
        </w:tc>
        <w:tc>
          <w:tcPr>
            <w:tcW w:w="567" w:type="dxa"/>
            <w:vAlign w:val="center"/>
          </w:tcPr>
          <w:p w14:paraId="50AF296C"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sz w:val="21"/>
                <w:szCs w:val="21"/>
              </w:rPr>
              <w:t>20</w:t>
            </w:r>
          </w:p>
        </w:tc>
        <w:tc>
          <w:tcPr>
            <w:tcW w:w="1417" w:type="dxa"/>
            <w:vAlign w:val="center"/>
          </w:tcPr>
          <w:p w14:paraId="6AD4E587" w14:textId="77777777" w:rsidR="008A5C83" w:rsidRDefault="00A7141B">
            <w:pPr>
              <w:spacing w:line="240" w:lineRule="auto"/>
              <w:ind w:firstLineChars="0" w:firstLine="0"/>
              <w:jc w:val="center"/>
              <w:rPr>
                <w:rFonts w:ascii="Calibri" w:eastAsia="宋体" w:hAnsi="Calibri" w:cs="Times New Roman"/>
                <w:sz w:val="21"/>
                <w:szCs w:val="21"/>
              </w:rPr>
            </w:pPr>
            <w:proofErr w:type="gramStart"/>
            <w:r>
              <w:rPr>
                <w:rFonts w:ascii="Calibri" w:eastAsia="宋体" w:hAnsi="Calibri" w:cs="Times New Roman" w:hint="eastAsia"/>
                <w:sz w:val="21"/>
                <w:szCs w:val="21"/>
              </w:rPr>
              <w:t>融创冰雪</w:t>
            </w:r>
            <w:proofErr w:type="gramEnd"/>
            <w:r>
              <w:rPr>
                <w:rFonts w:ascii="Calibri" w:eastAsia="宋体" w:hAnsi="Calibri" w:cs="Times New Roman" w:hint="eastAsia"/>
                <w:sz w:val="21"/>
                <w:szCs w:val="21"/>
              </w:rPr>
              <w:t>世界体育综合体</w:t>
            </w:r>
          </w:p>
        </w:tc>
        <w:tc>
          <w:tcPr>
            <w:tcW w:w="1276" w:type="dxa"/>
            <w:vAlign w:val="center"/>
          </w:tcPr>
          <w:p w14:paraId="04766F52"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柳东新区</w:t>
            </w:r>
          </w:p>
        </w:tc>
        <w:tc>
          <w:tcPr>
            <w:tcW w:w="850" w:type="dxa"/>
            <w:vAlign w:val="center"/>
          </w:tcPr>
          <w:p w14:paraId="4E995941" w14:textId="77777777" w:rsidR="008A5C83" w:rsidRDefault="00A7141B">
            <w:pPr>
              <w:spacing w:line="240" w:lineRule="auto"/>
              <w:ind w:firstLineChars="0" w:firstLine="0"/>
              <w:jc w:val="center"/>
              <w:rPr>
                <w:rFonts w:ascii="Calibri" w:eastAsia="宋体" w:hAnsi="Calibri" w:cs="Times New Roman"/>
                <w:sz w:val="21"/>
                <w:szCs w:val="21"/>
              </w:rPr>
            </w:pPr>
            <w:proofErr w:type="gramStart"/>
            <w:r>
              <w:rPr>
                <w:rFonts w:ascii="Calibri" w:eastAsia="宋体" w:hAnsi="Calibri" w:cs="Times New Roman" w:hint="eastAsia"/>
                <w:sz w:val="21"/>
                <w:szCs w:val="21"/>
              </w:rPr>
              <w:t>融创集团</w:t>
            </w:r>
            <w:proofErr w:type="gramEnd"/>
          </w:p>
        </w:tc>
        <w:tc>
          <w:tcPr>
            <w:tcW w:w="5678" w:type="dxa"/>
            <w:vAlign w:val="center"/>
          </w:tcPr>
          <w:p w14:paraId="6C0202DA"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项目总用地面积约</w:t>
            </w:r>
            <w:r>
              <w:rPr>
                <w:rFonts w:ascii="Calibri" w:eastAsia="宋体" w:hAnsi="Calibri" w:cs="Times New Roman" w:hint="eastAsia"/>
                <w:sz w:val="21"/>
                <w:szCs w:val="21"/>
              </w:rPr>
              <w:t>1500</w:t>
            </w:r>
            <w:r>
              <w:rPr>
                <w:rFonts w:ascii="Calibri" w:eastAsia="宋体" w:hAnsi="Calibri" w:cs="Times New Roman" w:hint="eastAsia"/>
                <w:sz w:val="21"/>
                <w:szCs w:val="21"/>
              </w:rPr>
              <w:t>亩，主要建设室内冰雪场地和室外滑雪道、索道及相关配套</w:t>
            </w:r>
          </w:p>
        </w:tc>
        <w:tc>
          <w:tcPr>
            <w:tcW w:w="925" w:type="dxa"/>
            <w:vAlign w:val="center"/>
          </w:tcPr>
          <w:p w14:paraId="24346925"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500000</w:t>
            </w:r>
          </w:p>
        </w:tc>
        <w:tc>
          <w:tcPr>
            <w:tcW w:w="1171" w:type="dxa"/>
            <w:vAlign w:val="center"/>
          </w:tcPr>
          <w:p w14:paraId="09B28557"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业主自筹</w:t>
            </w:r>
          </w:p>
        </w:tc>
        <w:tc>
          <w:tcPr>
            <w:tcW w:w="1026" w:type="dxa"/>
            <w:vAlign w:val="center"/>
          </w:tcPr>
          <w:p w14:paraId="20B2065E" w14:textId="77777777" w:rsidR="008A5C83" w:rsidRDefault="00A7141B">
            <w:pPr>
              <w:spacing w:line="240" w:lineRule="auto"/>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2021-2025</w:t>
            </w:r>
          </w:p>
        </w:tc>
      </w:tr>
    </w:tbl>
    <w:p w14:paraId="025D81A1" w14:textId="77777777" w:rsidR="008A5C83" w:rsidRDefault="008A5C83">
      <w:pPr>
        <w:ind w:firstLine="560"/>
      </w:pPr>
    </w:p>
    <w:sectPr w:rsidR="008A5C83">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810B4" w14:textId="77777777" w:rsidR="008A5C83" w:rsidRDefault="00A7141B">
      <w:pPr>
        <w:spacing w:line="240" w:lineRule="auto"/>
        <w:ind w:firstLine="560"/>
      </w:pPr>
      <w:r>
        <w:separator/>
      </w:r>
    </w:p>
  </w:endnote>
  <w:endnote w:type="continuationSeparator" w:id="0">
    <w:p w14:paraId="357D4CF7" w14:textId="77777777" w:rsidR="008A5C83" w:rsidRDefault="00A7141B">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BEF0" w14:textId="77777777" w:rsidR="008A5C83" w:rsidRDefault="008A5C83">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E909B" w14:textId="77777777" w:rsidR="008A5C83" w:rsidRDefault="008A5C83">
    <w:pPr>
      <w:pStyle w:val="a7"/>
      <w:ind w:firstLine="360"/>
      <w:jc w:val="center"/>
    </w:pPr>
  </w:p>
  <w:p w14:paraId="6AAE6E09" w14:textId="77777777" w:rsidR="008A5C83" w:rsidRDefault="008A5C83">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686D" w14:textId="77777777" w:rsidR="008A5C83" w:rsidRDefault="008A5C83">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859"/>
    </w:sdtPr>
    <w:sdtEndPr/>
    <w:sdtContent>
      <w:p w14:paraId="0EAAC47F" w14:textId="77777777" w:rsidR="008A5C83" w:rsidRDefault="00A7141B">
        <w:pPr>
          <w:pStyle w:val="a7"/>
          <w:ind w:firstLine="360"/>
          <w:jc w:val="center"/>
        </w:pPr>
        <w:r>
          <w:fldChar w:fldCharType="begin"/>
        </w:r>
        <w:r>
          <w:instrText>PAGE   \* MERGEFORMAT</w:instrText>
        </w:r>
        <w:r>
          <w:fldChar w:fldCharType="separate"/>
        </w:r>
        <w:r>
          <w:rPr>
            <w:lang w:val="zh-CN"/>
          </w:rPr>
          <w:t>4</w:t>
        </w:r>
        <w:r>
          <w:rPr>
            <w:lang w:val="zh-CN"/>
          </w:rPr>
          <w:t>2</w:t>
        </w:r>
        <w:r>
          <w:rPr>
            <w:lang w:val="zh-CN"/>
          </w:rPr>
          <w:fldChar w:fldCharType="end"/>
        </w:r>
      </w:p>
    </w:sdtContent>
  </w:sdt>
  <w:p w14:paraId="4841081D" w14:textId="77777777" w:rsidR="008A5C83" w:rsidRDefault="008A5C83">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599D7" w14:textId="77777777" w:rsidR="008A5C83" w:rsidRDefault="00A7141B">
      <w:pPr>
        <w:spacing w:line="240" w:lineRule="auto"/>
        <w:ind w:firstLine="560"/>
      </w:pPr>
      <w:r>
        <w:separator/>
      </w:r>
    </w:p>
  </w:footnote>
  <w:footnote w:type="continuationSeparator" w:id="0">
    <w:p w14:paraId="13A9A0B0" w14:textId="77777777" w:rsidR="008A5C83" w:rsidRDefault="00A7141B">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E1C4" w14:textId="77777777" w:rsidR="008A5C83" w:rsidRDefault="008A5C83">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14C7" w14:textId="77777777" w:rsidR="008A5C83" w:rsidRDefault="008A5C83">
    <w:pPr>
      <w:pStyle w:val="a9"/>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9D647" w14:textId="77777777" w:rsidR="008A5C83" w:rsidRDefault="008A5C83">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A4CE6"/>
    <w:multiLevelType w:val="multilevel"/>
    <w:tmpl w:val="1F7A4CE6"/>
    <w:lvl w:ilvl="0">
      <w:start w:val="1"/>
      <w:numFmt w:val="chineseCountingThousand"/>
      <w:suff w:val="nothing"/>
      <w:lvlText w:val="%1、"/>
      <w:lvlJc w:val="left"/>
      <w:pPr>
        <w:ind w:left="567" w:firstLine="0"/>
      </w:pPr>
      <w:rPr>
        <w:rFonts w:hint="eastAsia"/>
      </w:rPr>
    </w:lvl>
    <w:lvl w:ilvl="1">
      <w:start w:val="3"/>
      <w:numFmt w:val="chineseCountingThousand"/>
      <w:suff w:val="nothing"/>
      <w:lvlText w:val="（%2）"/>
      <w:lvlJc w:val="left"/>
      <w:pPr>
        <w:ind w:left="2127" w:firstLine="0"/>
      </w:pPr>
      <w:rPr>
        <w:rFonts w:hint="eastAsia"/>
        <w:lang w:val="en-US"/>
      </w:rPr>
    </w:lvl>
    <w:lvl w:ilvl="2">
      <w:start w:val="9"/>
      <w:numFmt w:val="decimal"/>
      <w:pStyle w:val="3"/>
      <w:suff w:val="nothing"/>
      <w:lvlText w:val="%3."/>
      <w:lvlJc w:val="left"/>
      <w:pPr>
        <w:ind w:left="567" w:firstLine="0"/>
      </w:pPr>
      <w:rPr>
        <w:rFonts w:hint="eastAsia"/>
        <w:b w:val="0"/>
        <w:bCs w:val="0"/>
        <w:i w:val="0"/>
        <w:iCs w:val="0"/>
        <w:caps w:val="0"/>
        <w:smallCaps w:val="0"/>
        <w:strike w:val="0"/>
        <w:dstrike w:val="0"/>
        <w:vanish w:val="0"/>
        <w:color w:val="000000"/>
        <w:spacing w:val="0"/>
        <w:position w:val="0"/>
        <w:u w:val="none"/>
        <w:vertAlign w:val="baseli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67125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88E"/>
    <w:rsid w:val="000004D8"/>
    <w:rsid w:val="000017F1"/>
    <w:rsid w:val="00002D82"/>
    <w:rsid w:val="00002E64"/>
    <w:rsid w:val="00003B59"/>
    <w:rsid w:val="000072D4"/>
    <w:rsid w:val="0001257C"/>
    <w:rsid w:val="00013B6B"/>
    <w:rsid w:val="0002032A"/>
    <w:rsid w:val="00034296"/>
    <w:rsid w:val="00043D7D"/>
    <w:rsid w:val="00050952"/>
    <w:rsid w:val="000526F7"/>
    <w:rsid w:val="00062E6D"/>
    <w:rsid w:val="00075A24"/>
    <w:rsid w:val="00077846"/>
    <w:rsid w:val="00080688"/>
    <w:rsid w:val="000871CA"/>
    <w:rsid w:val="00093253"/>
    <w:rsid w:val="00097375"/>
    <w:rsid w:val="000A1F6B"/>
    <w:rsid w:val="000A6B48"/>
    <w:rsid w:val="000D1302"/>
    <w:rsid w:val="000D19D4"/>
    <w:rsid w:val="000D1A9F"/>
    <w:rsid w:val="000D24BF"/>
    <w:rsid w:val="000D3F65"/>
    <w:rsid w:val="000D53BE"/>
    <w:rsid w:val="000E367D"/>
    <w:rsid w:val="000E45FB"/>
    <w:rsid w:val="000E5F1B"/>
    <w:rsid w:val="0012168E"/>
    <w:rsid w:val="00131E74"/>
    <w:rsid w:val="00131EA0"/>
    <w:rsid w:val="00134955"/>
    <w:rsid w:val="00136B6B"/>
    <w:rsid w:val="00142654"/>
    <w:rsid w:val="00143CA1"/>
    <w:rsid w:val="00144CB1"/>
    <w:rsid w:val="00153EE4"/>
    <w:rsid w:val="001567AD"/>
    <w:rsid w:val="0018443B"/>
    <w:rsid w:val="00184D63"/>
    <w:rsid w:val="001927C3"/>
    <w:rsid w:val="001A096B"/>
    <w:rsid w:val="001B1C06"/>
    <w:rsid w:val="001B6962"/>
    <w:rsid w:val="001B786A"/>
    <w:rsid w:val="001C4B2E"/>
    <w:rsid w:val="001C4FF2"/>
    <w:rsid w:val="001E0D64"/>
    <w:rsid w:val="001E4004"/>
    <w:rsid w:val="00204F9A"/>
    <w:rsid w:val="002050C8"/>
    <w:rsid w:val="00206091"/>
    <w:rsid w:val="00213C12"/>
    <w:rsid w:val="0021770C"/>
    <w:rsid w:val="002238A8"/>
    <w:rsid w:val="00230428"/>
    <w:rsid w:val="002311FA"/>
    <w:rsid w:val="002349E7"/>
    <w:rsid w:val="00236031"/>
    <w:rsid w:val="002363FF"/>
    <w:rsid w:val="002437CD"/>
    <w:rsid w:val="0024555A"/>
    <w:rsid w:val="0025640C"/>
    <w:rsid w:val="002575F6"/>
    <w:rsid w:val="002671BF"/>
    <w:rsid w:val="00271D38"/>
    <w:rsid w:val="00281CA4"/>
    <w:rsid w:val="002916DC"/>
    <w:rsid w:val="00294969"/>
    <w:rsid w:val="0029753C"/>
    <w:rsid w:val="002A0D4C"/>
    <w:rsid w:val="002B07D3"/>
    <w:rsid w:val="002C1528"/>
    <w:rsid w:val="002D33C8"/>
    <w:rsid w:val="002E2DDC"/>
    <w:rsid w:val="002E568E"/>
    <w:rsid w:val="003137C7"/>
    <w:rsid w:val="0032143E"/>
    <w:rsid w:val="0033099C"/>
    <w:rsid w:val="0033204D"/>
    <w:rsid w:val="00347674"/>
    <w:rsid w:val="003521E9"/>
    <w:rsid w:val="003535D2"/>
    <w:rsid w:val="0035489F"/>
    <w:rsid w:val="003622D8"/>
    <w:rsid w:val="00362E3B"/>
    <w:rsid w:val="003750BC"/>
    <w:rsid w:val="0038121B"/>
    <w:rsid w:val="00394A2E"/>
    <w:rsid w:val="003A7216"/>
    <w:rsid w:val="003B22CE"/>
    <w:rsid w:val="003B4FDB"/>
    <w:rsid w:val="003C571F"/>
    <w:rsid w:val="003D6B11"/>
    <w:rsid w:val="003E0F13"/>
    <w:rsid w:val="003F7FC8"/>
    <w:rsid w:val="0040230E"/>
    <w:rsid w:val="00402FE1"/>
    <w:rsid w:val="004052E7"/>
    <w:rsid w:val="0041736E"/>
    <w:rsid w:val="0042184B"/>
    <w:rsid w:val="00436A94"/>
    <w:rsid w:val="00436D3A"/>
    <w:rsid w:val="0045471C"/>
    <w:rsid w:val="0047120E"/>
    <w:rsid w:val="00471596"/>
    <w:rsid w:val="0048149C"/>
    <w:rsid w:val="0048645C"/>
    <w:rsid w:val="00490587"/>
    <w:rsid w:val="0049209E"/>
    <w:rsid w:val="00495D7D"/>
    <w:rsid w:val="004C22C5"/>
    <w:rsid w:val="004C259D"/>
    <w:rsid w:val="004C46DE"/>
    <w:rsid w:val="004D553F"/>
    <w:rsid w:val="004E38B5"/>
    <w:rsid w:val="004F597B"/>
    <w:rsid w:val="00502BE8"/>
    <w:rsid w:val="00507DDB"/>
    <w:rsid w:val="00520AD4"/>
    <w:rsid w:val="00522528"/>
    <w:rsid w:val="00525290"/>
    <w:rsid w:val="00534919"/>
    <w:rsid w:val="00545549"/>
    <w:rsid w:val="005524AA"/>
    <w:rsid w:val="00554403"/>
    <w:rsid w:val="00557B2A"/>
    <w:rsid w:val="0056391D"/>
    <w:rsid w:val="00573B7B"/>
    <w:rsid w:val="0057525D"/>
    <w:rsid w:val="00575EE7"/>
    <w:rsid w:val="00584B60"/>
    <w:rsid w:val="0058571F"/>
    <w:rsid w:val="00595650"/>
    <w:rsid w:val="00597D23"/>
    <w:rsid w:val="00597E7E"/>
    <w:rsid w:val="005A005D"/>
    <w:rsid w:val="005A1FCF"/>
    <w:rsid w:val="005A5DF1"/>
    <w:rsid w:val="005A69C5"/>
    <w:rsid w:val="005B4091"/>
    <w:rsid w:val="005C10E5"/>
    <w:rsid w:val="005D1B27"/>
    <w:rsid w:val="005D2815"/>
    <w:rsid w:val="005E031F"/>
    <w:rsid w:val="005E5117"/>
    <w:rsid w:val="005E7A93"/>
    <w:rsid w:val="005F08A1"/>
    <w:rsid w:val="00603343"/>
    <w:rsid w:val="00621872"/>
    <w:rsid w:val="006276FE"/>
    <w:rsid w:val="00640C00"/>
    <w:rsid w:val="006432D3"/>
    <w:rsid w:val="00653851"/>
    <w:rsid w:val="0065411B"/>
    <w:rsid w:val="0066157C"/>
    <w:rsid w:val="00662ABA"/>
    <w:rsid w:val="00667D64"/>
    <w:rsid w:val="00685E21"/>
    <w:rsid w:val="006877EB"/>
    <w:rsid w:val="006901D7"/>
    <w:rsid w:val="006931A8"/>
    <w:rsid w:val="006A08E6"/>
    <w:rsid w:val="006A245F"/>
    <w:rsid w:val="006B32D9"/>
    <w:rsid w:val="006B52EA"/>
    <w:rsid w:val="006C0618"/>
    <w:rsid w:val="006F3F2F"/>
    <w:rsid w:val="006F78CE"/>
    <w:rsid w:val="00701899"/>
    <w:rsid w:val="0070746A"/>
    <w:rsid w:val="00711AD7"/>
    <w:rsid w:val="00712905"/>
    <w:rsid w:val="0074223B"/>
    <w:rsid w:val="00747FBB"/>
    <w:rsid w:val="0075674B"/>
    <w:rsid w:val="00760757"/>
    <w:rsid w:val="00763424"/>
    <w:rsid w:val="00772E7B"/>
    <w:rsid w:val="00783E64"/>
    <w:rsid w:val="007A04C3"/>
    <w:rsid w:val="007A7EED"/>
    <w:rsid w:val="007B261B"/>
    <w:rsid w:val="007B4FA4"/>
    <w:rsid w:val="007C074F"/>
    <w:rsid w:val="007C11B4"/>
    <w:rsid w:val="007E0A59"/>
    <w:rsid w:val="007E0F39"/>
    <w:rsid w:val="007E456C"/>
    <w:rsid w:val="007E6DA4"/>
    <w:rsid w:val="007E74C5"/>
    <w:rsid w:val="00802BBB"/>
    <w:rsid w:val="0080594D"/>
    <w:rsid w:val="00807B06"/>
    <w:rsid w:val="00812580"/>
    <w:rsid w:val="00814A9B"/>
    <w:rsid w:val="0081573E"/>
    <w:rsid w:val="00822CC6"/>
    <w:rsid w:val="00830E5B"/>
    <w:rsid w:val="00834F9C"/>
    <w:rsid w:val="0083534E"/>
    <w:rsid w:val="008360AA"/>
    <w:rsid w:val="00850698"/>
    <w:rsid w:val="00852CC0"/>
    <w:rsid w:val="00864314"/>
    <w:rsid w:val="00871C60"/>
    <w:rsid w:val="00881810"/>
    <w:rsid w:val="00882D18"/>
    <w:rsid w:val="00887DD6"/>
    <w:rsid w:val="00894462"/>
    <w:rsid w:val="00895D60"/>
    <w:rsid w:val="008A5C83"/>
    <w:rsid w:val="008A5CD0"/>
    <w:rsid w:val="008C1E48"/>
    <w:rsid w:val="008C39E1"/>
    <w:rsid w:val="008D532C"/>
    <w:rsid w:val="008E3716"/>
    <w:rsid w:val="008E7FBA"/>
    <w:rsid w:val="008F5496"/>
    <w:rsid w:val="008F7440"/>
    <w:rsid w:val="00900D04"/>
    <w:rsid w:val="0090768C"/>
    <w:rsid w:val="00911B03"/>
    <w:rsid w:val="00913674"/>
    <w:rsid w:val="0092360C"/>
    <w:rsid w:val="009239AE"/>
    <w:rsid w:val="00933921"/>
    <w:rsid w:val="009402F6"/>
    <w:rsid w:val="009412EF"/>
    <w:rsid w:val="00941E6F"/>
    <w:rsid w:val="00945083"/>
    <w:rsid w:val="009469A9"/>
    <w:rsid w:val="00946A52"/>
    <w:rsid w:val="00947C2A"/>
    <w:rsid w:val="0095197E"/>
    <w:rsid w:val="009546D6"/>
    <w:rsid w:val="00961A42"/>
    <w:rsid w:val="00966B37"/>
    <w:rsid w:val="00971291"/>
    <w:rsid w:val="009740B8"/>
    <w:rsid w:val="00985879"/>
    <w:rsid w:val="00990E98"/>
    <w:rsid w:val="00991632"/>
    <w:rsid w:val="00994EB3"/>
    <w:rsid w:val="009C4826"/>
    <w:rsid w:val="009C5BF5"/>
    <w:rsid w:val="009C60E4"/>
    <w:rsid w:val="009D19C9"/>
    <w:rsid w:val="009D4DA9"/>
    <w:rsid w:val="009E488E"/>
    <w:rsid w:val="009E5F6A"/>
    <w:rsid w:val="00A00296"/>
    <w:rsid w:val="00A10212"/>
    <w:rsid w:val="00A10B28"/>
    <w:rsid w:val="00A12021"/>
    <w:rsid w:val="00A128F8"/>
    <w:rsid w:val="00A16F93"/>
    <w:rsid w:val="00A2141D"/>
    <w:rsid w:val="00A53BF7"/>
    <w:rsid w:val="00A53C3A"/>
    <w:rsid w:val="00A60048"/>
    <w:rsid w:val="00A7141B"/>
    <w:rsid w:val="00A71B74"/>
    <w:rsid w:val="00A73C35"/>
    <w:rsid w:val="00A75E7A"/>
    <w:rsid w:val="00A760A7"/>
    <w:rsid w:val="00A86DDD"/>
    <w:rsid w:val="00A86E3B"/>
    <w:rsid w:val="00A93B1A"/>
    <w:rsid w:val="00AA552C"/>
    <w:rsid w:val="00AA7DE6"/>
    <w:rsid w:val="00AB1FF9"/>
    <w:rsid w:val="00AB281B"/>
    <w:rsid w:val="00AB4D9B"/>
    <w:rsid w:val="00AB6441"/>
    <w:rsid w:val="00AB76D1"/>
    <w:rsid w:val="00AC0793"/>
    <w:rsid w:val="00AC16F1"/>
    <w:rsid w:val="00AC43B6"/>
    <w:rsid w:val="00AC7880"/>
    <w:rsid w:val="00AD176D"/>
    <w:rsid w:val="00AD2016"/>
    <w:rsid w:val="00AD24D5"/>
    <w:rsid w:val="00AD70F3"/>
    <w:rsid w:val="00AE02FB"/>
    <w:rsid w:val="00AE5D26"/>
    <w:rsid w:val="00AE7C30"/>
    <w:rsid w:val="00AF3E23"/>
    <w:rsid w:val="00B017A1"/>
    <w:rsid w:val="00B0221F"/>
    <w:rsid w:val="00B13DD5"/>
    <w:rsid w:val="00B2344E"/>
    <w:rsid w:val="00B31263"/>
    <w:rsid w:val="00B34EF2"/>
    <w:rsid w:val="00B406F1"/>
    <w:rsid w:val="00B413E5"/>
    <w:rsid w:val="00B46467"/>
    <w:rsid w:val="00B53242"/>
    <w:rsid w:val="00B53BE7"/>
    <w:rsid w:val="00B72902"/>
    <w:rsid w:val="00B732B8"/>
    <w:rsid w:val="00B97583"/>
    <w:rsid w:val="00BA61BE"/>
    <w:rsid w:val="00BB3C20"/>
    <w:rsid w:val="00BB5239"/>
    <w:rsid w:val="00BC243F"/>
    <w:rsid w:val="00BC54E2"/>
    <w:rsid w:val="00BE4278"/>
    <w:rsid w:val="00BF2DE8"/>
    <w:rsid w:val="00C3589C"/>
    <w:rsid w:val="00C40DDC"/>
    <w:rsid w:val="00C41C14"/>
    <w:rsid w:val="00C443BA"/>
    <w:rsid w:val="00C4525E"/>
    <w:rsid w:val="00C55F9C"/>
    <w:rsid w:val="00C65575"/>
    <w:rsid w:val="00C66B74"/>
    <w:rsid w:val="00C73A5F"/>
    <w:rsid w:val="00C85BC8"/>
    <w:rsid w:val="00C8612E"/>
    <w:rsid w:val="00C87DF0"/>
    <w:rsid w:val="00C90706"/>
    <w:rsid w:val="00CA2CF6"/>
    <w:rsid w:val="00CA5569"/>
    <w:rsid w:val="00CA5AD5"/>
    <w:rsid w:val="00CA775E"/>
    <w:rsid w:val="00CB211B"/>
    <w:rsid w:val="00CB2C8C"/>
    <w:rsid w:val="00CB4FEA"/>
    <w:rsid w:val="00CB7015"/>
    <w:rsid w:val="00CC4776"/>
    <w:rsid w:val="00CC4FAE"/>
    <w:rsid w:val="00CD1696"/>
    <w:rsid w:val="00CD36EB"/>
    <w:rsid w:val="00CD3F9A"/>
    <w:rsid w:val="00CE30DE"/>
    <w:rsid w:val="00D0476F"/>
    <w:rsid w:val="00D0631A"/>
    <w:rsid w:val="00D11B5B"/>
    <w:rsid w:val="00D12735"/>
    <w:rsid w:val="00D20A10"/>
    <w:rsid w:val="00D24E3D"/>
    <w:rsid w:val="00D302F4"/>
    <w:rsid w:val="00D34FBA"/>
    <w:rsid w:val="00D360C8"/>
    <w:rsid w:val="00D36950"/>
    <w:rsid w:val="00D37019"/>
    <w:rsid w:val="00D61E68"/>
    <w:rsid w:val="00D64786"/>
    <w:rsid w:val="00D64B6B"/>
    <w:rsid w:val="00D720B7"/>
    <w:rsid w:val="00D740A8"/>
    <w:rsid w:val="00D768F7"/>
    <w:rsid w:val="00DA14EA"/>
    <w:rsid w:val="00DA2C44"/>
    <w:rsid w:val="00DA30DD"/>
    <w:rsid w:val="00DA5340"/>
    <w:rsid w:val="00DA6D3E"/>
    <w:rsid w:val="00DA7141"/>
    <w:rsid w:val="00DB67AD"/>
    <w:rsid w:val="00DD12DE"/>
    <w:rsid w:val="00DD7046"/>
    <w:rsid w:val="00DE43DC"/>
    <w:rsid w:val="00DE67C9"/>
    <w:rsid w:val="00DF481A"/>
    <w:rsid w:val="00E020F9"/>
    <w:rsid w:val="00E048F2"/>
    <w:rsid w:val="00E1113D"/>
    <w:rsid w:val="00E14582"/>
    <w:rsid w:val="00E17239"/>
    <w:rsid w:val="00E221D0"/>
    <w:rsid w:val="00E3184E"/>
    <w:rsid w:val="00E33E3C"/>
    <w:rsid w:val="00E37C97"/>
    <w:rsid w:val="00E4209F"/>
    <w:rsid w:val="00E53A7D"/>
    <w:rsid w:val="00E67229"/>
    <w:rsid w:val="00E7378C"/>
    <w:rsid w:val="00E87DDE"/>
    <w:rsid w:val="00E937E5"/>
    <w:rsid w:val="00E9548E"/>
    <w:rsid w:val="00EA7F7F"/>
    <w:rsid w:val="00EB0E41"/>
    <w:rsid w:val="00EB141A"/>
    <w:rsid w:val="00EB6E3C"/>
    <w:rsid w:val="00EC5C32"/>
    <w:rsid w:val="00ED14D5"/>
    <w:rsid w:val="00ED3403"/>
    <w:rsid w:val="00ED3AB1"/>
    <w:rsid w:val="00ED7374"/>
    <w:rsid w:val="00EF41F8"/>
    <w:rsid w:val="00F03B66"/>
    <w:rsid w:val="00F0532F"/>
    <w:rsid w:val="00F06456"/>
    <w:rsid w:val="00F113E2"/>
    <w:rsid w:val="00F12CF1"/>
    <w:rsid w:val="00F17EFB"/>
    <w:rsid w:val="00F25887"/>
    <w:rsid w:val="00F36D7C"/>
    <w:rsid w:val="00F42213"/>
    <w:rsid w:val="00F46940"/>
    <w:rsid w:val="00F727CE"/>
    <w:rsid w:val="00F744D1"/>
    <w:rsid w:val="00F76002"/>
    <w:rsid w:val="00F83A4D"/>
    <w:rsid w:val="00F844B5"/>
    <w:rsid w:val="00F872D9"/>
    <w:rsid w:val="00F94FDC"/>
    <w:rsid w:val="00FA27FC"/>
    <w:rsid w:val="00FA5FC3"/>
    <w:rsid w:val="00FB10A1"/>
    <w:rsid w:val="00FB15C1"/>
    <w:rsid w:val="00FB1D72"/>
    <w:rsid w:val="00FB2FF4"/>
    <w:rsid w:val="00FC2EAE"/>
    <w:rsid w:val="00FD5D27"/>
    <w:rsid w:val="00FE322F"/>
    <w:rsid w:val="00FE5251"/>
    <w:rsid w:val="00FE58FD"/>
    <w:rsid w:val="00FE654C"/>
    <w:rsid w:val="00FF23B4"/>
    <w:rsid w:val="00FF6265"/>
    <w:rsid w:val="02E92BC1"/>
    <w:rsid w:val="07625121"/>
    <w:rsid w:val="14C07308"/>
    <w:rsid w:val="18E0603B"/>
    <w:rsid w:val="353BF3E3"/>
    <w:rsid w:val="39CE4EF1"/>
    <w:rsid w:val="41870D51"/>
    <w:rsid w:val="41E02C82"/>
    <w:rsid w:val="6F1D771C"/>
    <w:rsid w:val="73AD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3498A"/>
  <w15:docId w15:val="{66BD7A89-BAAA-4D72-AC29-525882D7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pPr>
    <w:rPr>
      <w:kern w:val="2"/>
      <w:sz w:val="28"/>
      <w:szCs w:val="22"/>
    </w:rPr>
  </w:style>
  <w:style w:type="paragraph" w:styleId="1">
    <w:name w:val="heading 1"/>
    <w:basedOn w:val="a"/>
    <w:next w:val="a"/>
    <w:link w:val="10"/>
    <w:uiPriority w:val="9"/>
    <w:qFormat/>
    <w:pPr>
      <w:spacing w:before="80" w:after="80"/>
      <w:ind w:firstLineChars="0" w:firstLine="0"/>
      <w:outlineLvl w:val="0"/>
    </w:pPr>
    <w:rPr>
      <w:b/>
      <w:bCs/>
      <w:kern w:val="44"/>
      <w:sz w:val="32"/>
      <w:szCs w:val="44"/>
    </w:rPr>
  </w:style>
  <w:style w:type="paragraph" w:styleId="2">
    <w:name w:val="heading 2"/>
    <w:basedOn w:val="a"/>
    <w:next w:val="a"/>
    <w:link w:val="20"/>
    <w:uiPriority w:val="9"/>
    <w:unhideWhenUsed/>
    <w:qFormat/>
    <w:pPr>
      <w:spacing w:before="40" w:after="40"/>
      <w:ind w:firstLineChars="0" w:firstLine="0"/>
      <w:outlineLvl w:val="1"/>
    </w:pPr>
    <w:rPr>
      <w:rFonts w:asciiTheme="majorHAnsi" w:hAnsiTheme="majorHAnsi" w:cstheme="majorBidi"/>
      <w:b/>
      <w:bCs/>
      <w:color w:val="000000" w:themeColor="text1"/>
      <w:szCs w:val="32"/>
    </w:rPr>
  </w:style>
  <w:style w:type="paragraph" w:styleId="3">
    <w:name w:val="heading 3"/>
    <w:basedOn w:val="a"/>
    <w:next w:val="a"/>
    <w:link w:val="30"/>
    <w:uiPriority w:val="9"/>
    <w:unhideWhenUsed/>
    <w:qFormat/>
    <w:pPr>
      <w:numPr>
        <w:ilvl w:val="2"/>
        <w:numId w:val="1"/>
      </w:numPr>
      <w:spacing w:before="40" w:after="40"/>
      <w:ind w:firstLineChars="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TOC3">
    <w:name w:val="toc 3"/>
    <w:basedOn w:val="a"/>
    <w:next w:val="a"/>
    <w:uiPriority w:val="39"/>
    <w:unhideWhenUsed/>
    <w:qFormat/>
    <w:pPr>
      <w:tabs>
        <w:tab w:val="right" w:leader="dot" w:pos="8296"/>
      </w:tabs>
      <w:ind w:firstLineChars="0" w:firstLine="0"/>
    </w:p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ind w:firstLineChars="0" w:firstLine="0"/>
    </w:pPr>
    <w:rPr>
      <w:rFonts w:ascii="楷体" w:eastAsia="楷体" w:hAnsi="楷体"/>
      <w:b/>
    </w:rPr>
  </w:style>
  <w:style w:type="paragraph" w:styleId="TOC2">
    <w:name w:val="toc 2"/>
    <w:basedOn w:val="a"/>
    <w:next w:val="a"/>
    <w:uiPriority w:val="39"/>
    <w:unhideWhenUsed/>
    <w:qFormat/>
    <w:pPr>
      <w:tabs>
        <w:tab w:val="right" w:leader="dot" w:pos="8296"/>
      </w:tabs>
      <w:ind w:firstLine="560"/>
    </w:pPr>
    <w:rPr>
      <w:rFonts w:ascii="楷体" w:eastAsia="楷体" w:hAnsi="楷体"/>
      <w:color w:val="000000" w:themeColor="text1"/>
    </w:rPr>
  </w:style>
  <w:style w:type="paragraph" w:styleId="ab">
    <w:name w:val="Normal (Web)"/>
    <w:basedOn w:val="a"/>
    <w:uiPriority w:val="99"/>
    <w:unhideWhenUsed/>
    <w:qFormat/>
    <w:pPr>
      <w:widowControl/>
      <w:spacing w:line="240" w:lineRule="auto"/>
      <w:ind w:firstLineChars="0" w:firstLine="0"/>
    </w:pPr>
    <w:rPr>
      <w:rFonts w:ascii="宋体" w:eastAsia="宋体" w:hAnsi="宋体" w:cs="宋体"/>
      <w:kern w:val="0"/>
      <w:szCs w:val="24"/>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22"/>
    <w:qFormat/>
    <w:rPr>
      <w:b/>
      <w:bCs/>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1">
    <w:name w:val="List Paragraph"/>
    <w:basedOn w:val="a"/>
    <w:uiPriority w:val="34"/>
    <w:qFormat/>
    <w:pPr>
      <w:ind w:firstLine="420"/>
    </w:pPr>
  </w:style>
  <w:style w:type="character" w:customStyle="1" w:styleId="10">
    <w:name w:val="标题 1 字符"/>
    <w:basedOn w:val="a0"/>
    <w:link w:val="1"/>
    <w:uiPriority w:val="9"/>
    <w:qFormat/>
    <w:rPr>
      <w:b/>
      <w:bCs/>
      <w:kern w:val="44"/>
      <w:sz w:val="32"/>
      <w:szCs w:val="44"/>
    </w:rPr>
  </w:style>
  <w:style w:type="character" w:customStyle="1" w:styleId="20">
    <w:name w:val="标题 2 字符"/>
    <w:basedOn w:val="a0"/>
    <w:link w:val="2"/>
    <w:uiPriority w:val="9"/>
    <w:qFormat/>
    <w:rPr>
      <w:rFonts w:asciiTheme="majorHAnsi" w:hAnsiTheme="majorHAnsi" w:cstheme="majorBidi"/>
      <w:b/>
      <w:bCs/>
      <w:color w:val="000000" w:themeColor="text1"/>
      <w:sz w:val="28"/>
      <w:szCs w:val="32"/>
    </w:rPr>
  </w:style>
  <w:style w:type="character" w:customStyle="1" w:styleId="30">
    <w:name w:val="标题 3 字符"/>
    <w:basedOn w:val="a0"/>
    <w:link w:val="3"/>
    <w:uiPriority w:val="9"/>
    <w:qFormat/>
    <w:rPr>
      <w:b/>
      <w:bCs/>
      <w:sz w:val="24"/>
      <w:szCs w:val="32"/>
    </w:rPr>
  </w:style>
  <w:style w:type="paragraph" w:customStyle="1" w:styleId="TOC10">
    <w:name w:val="TOC 标题1"/>
    <w:basedOn w:val="1"/>
    <w:next w:val="a"/>
    <w:uiPriority w:val="39"/>
    <w:unhideWhenUsed/>
    <w:qFormat/>
    <w:pPr>
      <w:keepNext/>
      <w:keepLines/>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customStyle="1" w:styleId="Default">
    <w:name w:val="Default"/>
    <w:uiPriority w:val="99"/>
    <w:unhideWhenUsed/>
    <w:qFormat/>
    <w:pPr>
      <w:widowControl w:val="0"/>
      <w:autoSpaceDE w:val="0"/>
      <w:autoSpaceDN w:val="0"/>
      <w:adjustRightInd w:val="0"/>
    </w:pPr>
    <w:rPr>
      <w:rFonts w:ascii="Times New Roman" w:eastAsia="宋体" w:hAnsi="Times New Roman" w:cs="Times New Roman" w:hint="eastAsia"/>
      <w:color w:val="000000"/>
      <w:sz w:val="24"/>
      <w:szCs w:val="22"/>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rPr>
      <w:sz w:val="28"/>
    </w:rPr>
  </w:style>
  <w:style w:type="character" w:customStyle="1" w:styleId="ad">
    <w:name w:val="批注主题 字符"/>
    <w:basedOn w:val="a4"/>
    <w:link w:val="ac"/>
    <w:uiPriority w:val="99"/>
    <w:semiHidden/>
    <w:qFormat/>
    <w:rPr>
      <w:b/>
      <w:bCs/>
      <w:sz w:val="28"/>
    </w:rPr>
  </w:style>
  <w:style w:type="paragraph" w:customStyle="1" w:styleId="11">
    <w:name w:val="修订1"/>
    <w:hidden/>
    <w:uiPriority w:val="99"/>
    <w:semiHidden/>
    <w:qFormat/>
    <w:rPr>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p.weixin.qq.com/s?__biz=MzIzNDg1Njg2Mw%3D%3D&amp;idx=3&amp;mid=2247485135&amp;sn=820af4e06a4f8e5738ab952ceb66f79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p.weixin.qq.com/s?__biz=MzIzNDg1Njg2Mw%3D%3D&amp;idx=3&amp;mid=2247485135&amp;sn=820af4e06a4f8e5738ab952ceb66f79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21008</Words>
  <Characters>3049</Characters>
  <Application>Microsoft Office Word</Application>
  <DocSecurity>0</DocSecurity>
  <Lines>25</Lines>
  <Paragraphs>48</Paragraphs>
  <ScaleCrop>false</ScaleCrop>
  <Company>Microsoft</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陈格宁</cp:lastModifiedBy>
  <cp:revision>5</cp:revision>
  <cp:lastPrinted>2021-03-11T16:24:00Z</cp:lastPrinted>
  <dcterms:created xsi:type="dcterms:W3CDTF">2021-10-27T09:30:00Z</dcterms:created>
  <dcterms:modified xsi:type="dcterms:W3CDTF">2025-01-16T02:51:00Z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392849F022B74C3FAD656AB85E1A3A2D</vt:lpwstr>
  </property>
</Properties>
</file>